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0C86" w14:textId="77777777" w:rsidR="009E4EA1" w:rsidRDefault="009E4EA1" w:rsidP="009E4EA1">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Договор энергоснабжения № __________</w:t>
      </w:r>
    </w:p>
    <w:p w14:paraId="0C29086D" w14:textId="77777777" w:rsidR="0015238A" w:rsidRDefault="0015238A" w:rsidP="009E4EA1">
      <w:pPr>
        <w:autoSpaceDE w:val="0"/>
        <w:autoSpaceDN w:val="0"/>
        <w:adjustRightInd w:val="0"/>
        <w:jc w:val="center"/>
        <w:rPr>
          <w:rFonts w:ascii="Times New Roman CYR" w:hAnsi="Times New Roman CYR" w:cs="Times New Roman CYR"/>
          <w:b/>
          <w:bCs/>
          <w:sz w:val="22"/>
          <w:szCs w:val="22"/>
          <w:lang w:val="ru-RU" w:bidi="ar-SA"/>
        </w:rPr>
      </w:pPr>
    </w:p>
    <w:p w14:paraId="2F400C87" w14:textId="3059E7CD" w:rsidR="009E4EA1" w:rsidRPr="009739A0" w:rsidRDefault="009E4EA1" w:rsidP="009E4EA1">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00574F38">
        <w:rPr>
          <w:rFonts w:ascii="Times New Roman CYR" w:hAnsi="Times New Roman CYR" w:cs="Times New Roman CYR"/>
          <w:b/>
          <w:bCs/>
          <w:color w:val="000000"/>
          <w:sz w:val="22"/>
          <w:szCs w:val="22"/>
          <w:lang w:val="ru-RU" w:bidi="ar-SA"/>
        </w:rPr>
        <w:t>«</w:t>
      </w:r>
      <w:r w:rsidRPr="009739A0">
        <w:rPr>
          <w:rFonts w:ascii="Times New Roman CYR" w:hAnsi="Times New Roman CYR" w:cs="Times New Roman CYR"/>
          <w:b/>
          <w:bCs/>
          <w:color w:val="000000"/>
          <w:sz w:val="22"/>
          <w:szCs w:val="22"/>
          <w:lang w:val="ru-RU" w:bidi="ar-SA"/>
        </w:rPr>
        <w:t>_____</w:t>
      </w:r>
      <w:r w:rsidR="00574F38">
        <w:rPr>
          <w:rFonts w:ascii="Times New Roman CYR" w:hAnsi="Times New Roman CYR" w:cs="Times New Roman CYR"/>
          <w:b/>
          <w:bCs/>
          <w:color w:val="000000"/>
          <w:sz w:val="22"/>
          <w:szCs w:val="22"/>
          <w:lang w:val="ru-RU" w:bidi="ar-SA"/>
        </w:rPr>
        <w:t>»</w:t>
      </w:r>
      <w:r w:rsidR="0015238A">
        <w:rPr>
          <w:rFonts w:ascii="Times New Roman CYR" w:hAnsi="Times New Roman CYR" w:cs="Times New Roman CYR"/>
          <w:b/>
          <w:bCs/>
          <w:color w:val="000000"/>
          <w:sz w:val="22"/>
          <w:szCs w:val="22"/>
          <w:lang w:val="ru-RU" w:bidi="ar-SA"/>
        </w:rPr>
        <w:t>______</w:t>
      </w:r>
      <w:r w:rsidRPr="009739A0">
        <w:rPr>
          <w:rFonts w:ascii="Times New Roman CYR" w:hAnsi="Times New Roman CYR" w:cs="Times New Roman CYR"/>
          <w:b/>
          <w:bCs/>
          <w:color w:val="000000"/>
          <w:sz w:val="22"/>
          <w:szCs w:val="22"/>
          <w:lang w:val="ru-RU" w:bidi="ar-SA"/>
        </w:rPr>
        <w:t xml:space="preserve">_______ </w:t>
      </w:r>
      <w:proofErr w:type="gramStart"/>
      <w:r>
        <w:rPr>
          <w:rFonts w:ascii="Times New Roman CYR" w:hAnsi="Times New Roman CYR" w:cs="Times New Roman CYR"/>
          <w:b/>
          <w:bCs/>
          <w:color w:val="000000"/>
          <w:sz w:val="22"/>
          <w:szCs w:val="22"/>
          <w:lang w:val="ru-RU" w:bidi="ar-SA"/>
        </w:rPr>
        <w:t>г</w:t>
      </w:r>
      <w:proofErr w:type="gramEnd"/>
      <w:r w:rsidRPr="009739A0">
        <w:rPr>
          <w:rFonts w:ascii="Times New Roman CYR" w:hAnsi="Times New Roman CYR" w:cs="Times New Roman CYR"/>
          <w:b/>
          <w:bCs/>
          <w:color w:val="000000"/>
          <w:sz w:val="22"/>
          <w:szCs w:val="22"/>
          <w:lang w:val="ru-RU" w:bidi="ar-SA"/>
        </w:rPr>
        <w:t>.</w:t>
      </w:r>
    </w:p>
    <w:p w14:paraId="2F400C88" w14:textId="77777777" w:rsidR="009E4EA1" w:rsidRPr="009739A0" w:rsidRDefault="009E4EA1" w:rsidP="009E4EA1">
      <w:pPr>
        <w:autoSpaceDE w:val="0"/>
        <w:autoSpaceDN w:val="0"/>
        <w:adjustRightInd w:val="0"/>
        <w:ind w:left="-60"/>
        <w:jc w:val="both"/>
        <w:rPr>
          <w:rFonts w:ascii="Times New Roman CYR" w:hAnsi="Times New Roman CYR" w:cs="Times New Roman CYR"/>
          <w:sz w:val="22"/>
          <w:szCs w:val="22"/>
          <w:lang w:val="ru-RU" w:bidi="ar-SA"/>
        </w:rPr>
      </w:pPr>
    </w:p>
    <w:p w14:paraId="2F400C89" w14:textId="7BBA6DC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 xml:space="preserve">, именуемое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r w:rsidRPr="009E4EA1">
        <w:rPr>
          <w:rFonts w:ascii="Times New Roman" w:hAnsi="Times New Roman"/>
          <w:sz w:val="22"/>
          <w:szCs w:val="22"/>
          <w:lang w:val="ru-RU" w:bidi="ar-SA"/>
        </w:rPr>
        <w:t>-</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Абонент</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9E4EA1">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заключили настоящий Договор энергоснабжения (далее - Договор).</w:t>
      </w:r>
      <w:proofErr w:type="gramEnd"/>
    </w:p>
    <w:p w14:paraId="2F400C8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2F400C8B"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2F400C8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2F400C8D"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 2 и 2а к настоящему Договору.</w:t>
      </w:r>
    </w:p>
    <w:p w14:paraId="2F400C8E"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2F400C8F"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Абонента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2F400C90" w14:textId="77777777" w:rsidR="009E4EA1" w:rsidRDefault="009E4EA1" w:rsidP="009E4EA1">
      <w:pPr>
        <w:widowControl w:val="0"/>
        <w:tabs>
          <w:tab w:val="left" w:pos="10334"/>
        </w:tabs>
        <w:autoSpaceDE w:val="0"/>
        <w:autoSpaceDN w:val="0"/>
        <w:adjustRightInd w:val="0"/>
        <w:spacing w:line="104" w:lineRule="atLeast"/>
        <w:ind w:right="50"/>
        <w:jc w:val="both"/>
        <w:rPr>
          <w:rFonts w:ascii="Times New Roman CYR" w:hAnsi="Times New Roman CYR" w:cs="Times New Roman CYR"/>
          <w:color w:val="080000"/>
          <w:sz w:val="22"/>
          <w:szCs w:val="22"/>
          <w:lang w:val="ru-RU" w:bidi="ar-SA"/>
        </w:rPr>
      </w:pPr>
    </w:p>
    <w:p w14:paraId="2F400C91"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2F400C92" w14:textId="3A1303E6"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w:t>
      </w:r>
      <w:r w:rsidR="00BC205D">
        <w:rPr>
          <w:rFonts w:ascii="Times New Roman CYR" w:hAnsi="Times New Roman CYR" w:cs="Times New Roman CYR"/>
          <w:color w:val="080000"/>
          <w:sz w:val="22"/>
          <w:szCs w:val="22"/>
          <w:lang w:val="ru-RU" w:bidi="ar-SA"/>
        </w:rPr>
        <w:t xml:space="preserve"> электроэнергетики</w:t>
      </w:r>
      <w:r>
        <w:rPr>
          <w:rFonts w:ascii="Times New Roman CYR" w:hAnsi="Times New Roman CYR" w:cs="Times New Roman CYR"/>
          <w:color w:val="080000"/>
          <w:sz w:val="22"/>
          <w:szCs w:val="22"/>
          <w:lang w:val="ru-RU" w:bidi="ar-SA"/>
        </w:rPr>
        <w:t>.</w:t>
      </w:r>
      <w:proofErr w:type="gramEnd"/>
    </w:p>
    <w:p w14:paraId="2F400C93"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2F400C94" w14:textId="068971D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E25DC0">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2F400C95" w14:textId="77777777" w:rsidR="009E4EA1" w:rsidRDefault="009E4EA1" w:rsidP="009E4EA1">
      <w:pPr>
        <w:widowControl w:val="0"/>
        <w:tabs>
          <w:tab w:val="left" w:pos="10334"/>
        </w:tabs>
        <w:autoSpaceDE w:val="0"/>
        <w:autoSpaceDN w:val="0"/>
        <w:adjustRightInd w:val="0"/>
        <w:jc w:val="both"/>
        <w:rPr>
          <w:rFonts w:ascii="Times New Roman CYR" w:hAnsi="Times New Roman CYR" w:cs="Times New Roman CYR"/>
          <w:color w:val="080000"/>
          <w:sz w:val="22"/>
          <w:szCs w:val="22"/>
          <w:lang w:val="ru-RU" w:bidi="ar-SA"/>
        </w:rPr>
      </w:pPr>
    </w:p>
    <w:p w14:paraId="2F400C96"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2F400C97" w14:textId="77777777" w:rsidR="009E4EA1" w:rsidRPr="0015238A"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3.1. Гарантирующий поставщик обязан:</w:t>
      </w:r>
    </w:p>
    <w:p w14:paraId="2F400C98" w14:textId="5C82A0CF"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w:t>
      </w:r>
      <w:r w:rsidR="00804DE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являющимся неотъемлемой частью настоящего Договора.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2F400C99" w14:textId="61E0EC11"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В пределах границ балансовой принадлежности </w:t>
      </w:r>
      <w:r w:rsidR="006F6EA6">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обеспечивать </w:t>
      </w:r>
      <w:r>
        <w:rPr>
          <w:rFonts w:ascii="Times New Roman CYR" w:hAnsi="Times New Roman CYR" w:cs="Times New Roman CYR"/>
          <w:color w:val="080000"/>
          <w:sz w:val="22"/>
          <w:szCs w:val="22"/>
          <w:lang w:val="ru-RU" w:bidi="ar-SA"/>
        </w:rPr>
        <w:lastRenderedPageBreak/>
        <w:t>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2F400C9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2F400C9B" w14:textId="0CCD336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3.1.4. </w:t>
      </w:r>
      <w:r w:rsidR="009609AC">
        <w:rPr>
          <w:rFonts w:ascii="Times New Roman CYR" w:hAnsi="Times New Roman CYR" w:cs="Times New Roman CYR"/>
          <w:color w:val="080000"/>
          <w:sz w:val="22"/>
          <w:szCs w:val="22"/>
          <w:lang w:val="ru-RU" w:bidi="ar-SA"/>
        </w:rPr>
        <w:t xml:space="preserve">Осуществлять </w:t>
      </w:r>
      <w:r>
        <w:rPr>
          <w:rFonts w:ascii="Times New Roman CYR" w:hAnsi="Times New Roman CYR" w:cs="Times New Roman CYR"/>
          <w:color w:val="080000"/>
          <w:sz w:val="22"/>
          <w:szCs w:val="22"/>
          <w:lang w:val="ru-RU" w:bidi="ar-SA"/>
        </w:rPr>
        <w:t>действия, необходимые для реализации прав Абонента, предусмотренных в Основных положениях.</w:t>
      </w:r>
    </w:p>
    <w:p w14:paraId="2F400C9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2F400C9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C9E"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3.2. Абонент обязан:</w:t>
      </w:r>
    </w:p>
    <w:p w14:paraId="2F400C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2F400CA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2F400CA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2F400CA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2F400CA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2F400CA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2F400CA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2F400CA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2F400CA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w:t>
      </w:r>
      <w:proofErr w:type="gramStart"/>
      <w:r>
        <w:rPr>
          <w:rFonts w:ascii="Times New Roman CYR" w:hAnsi="Times New Roman CYR" w:cs="Times New Roman CYR"/>
          <w:color w:val="080000"/>
          <w:sz w:val="22"/>
          <w:szCs w:val="22"/>
          <w:lang w:val="ru-RU" w:bidi="ar-SA"/>
        </w:rPr>
        <w:t>право ведения</w:t>
      </w:r>
      <w:proofErr w:type="gramEnd"/>
      <w:r>
        <w:rPr>
          <w:rFonts w:ascii="Times New Roman CYR" w:hAnsi="Times New Roman CYR" w:cs="Times New Roman CYR"/>
          <w:color w:val="080000"/>
          <w:sz w:val="22"/>
          <w:szCs w:val="22"/>
          <w:lang w:val="ru-RU" w:bidi="ar-SA"/>
        </w:rPr>
        <w:t xml:space="preserve"> оперативных переговоров и переключений.</w:t>
      </w:r>
    </w:p>
    <w:p w14:paraId="2F400CA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2F400CA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2F400CA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2012г. № 442.</w:t>
      </w:r>
    </w:p>
    <w:p w14:paraId="2F400CA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2F400CA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2F400CA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2F400CA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2F400CAF"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2F400CB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2F400CB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2F400CB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замену и периодическую поверку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2F400CB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2F400CB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2F400CB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2F400CB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 xml:space="preserve">В отношении приборов учета, установленных в границах балансовой принадлежности </w:t>
      </w:r>
      <w:r>
        <w:rPr>
          <w:rFonts w:ascii="Times New Roman CYR" w:hAnsi="Times New Roman CYR" w:cs="Times New Roman CYR"/>
          <w:color w:val="080000"/>
          <w:sz w:val="22"/>
          <w:szCs w:val="22"/>
          <w:lang w:val="ru-RU" w:bidi="ar-SA"/>
        </w:rPr>
        <w:lastRenderedPageBreak/>
        <w:t>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2F400CB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color w:val="080000"/>
          <w:sz w:val="22"/>
          <w:szCs w:val="22"/>
          <w:lang w:val="ru-RU" w:bidi="ar-SA"/>
        </w:rPr>
        <w:t xml:space="preserve">Для формирования счетов за расчетный период </w:t>
      </w:r>
      <w:r>
        <w:rPr>
          <w:rFonts w:ascii="Times New Roman CYR" w:hAnsi="Times New Roman CYR" w:cs="Times New Roman CYR"/>
          <w:sz w:val="22"/>
          <w:szCs w:val="22"/>
          <w:lang w:val="ru-RU" w:bidi="ar-SA"/>
        </w:rPr>
        <w:t>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w:t>
      </w:r>
      <w:proofErr w:type="gramEnd"/>
      <w:r>
        <w:rPr>
          <w:rFonts w:ascii="Times New Roman CYR" w:hAnsi="Times New Roman CYR" w:cs="Times New Roman CYR"/>
          <w:sz w:val="22"/>
          <w:szCs w:val="22"/>
          <w:lang w:val="ru-RU" w:bidi="ar-SA"/>
        </w:rPr>
        <w:t xml:space="preserve">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2F400C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2F400CB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доставка в адрес Гарантирующего поставщика;</w:t>
      </w:r>
    </w:p>
    <w:p w14:paraId="2F400CB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личного интерне</w:t>
      </w:r>
      <w:proofErr w:type="gramStart"/>
      <w:r>
        <w:rPr>
          <w:rFonts w:ascii="Times New Roman CYR" w:hAnsi="Times New Roman CYR" w:cs="Times New Roman CYR"/>
          <w:sz w:val="22"/>
          <w:szCs w:val="22"/>
          <w:lang w:val="ru-RU" w:bidi="ar-SA"/>
        </w:rPr>
        <w:t>т-</w:t>
      </w:r>
      <w:proofErr w:type="gramEnd"/>
      <w:r>
        <w:rPr>
          <w:rFonts w:ascii="Times New Roman CYR" w:hAnsi="Times New Roman CYR" w:cs="Times New Roman CYR"/>
          <w:sz w:val="22"/>
          <w:szCs w:val="22"/>
          <w:lang w:val="ru-RU" w:bidi="ar-SA"/>
        </w:rPr>
        <w:t xml:space="preserve"> кабинета на официальном сайте Гарантирующего поставщика при условии регистрации и подписания соответствующего Соглашения;</w:t>
      </w:r>
    </w:p>
    <w:p w14:paraId="2F400CB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 или электронной почты;</w:t>
      </w:r>
    </w:p>
    <w:p w14:paraId="2F400CB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2F400CB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2F400CB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2F400CBF" w14:textId="0241577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w:t>
      </w:r>
      <w:r w:rsidR="0075527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потребленной за расчетный период в срок до окончания 25 дня расчетного месяца.</w:t>
      </w:r>
    </w:p>
    <w:p w14:paraId="2F400CC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2F400CC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2F400CC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C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2F400CC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контроля соблюдения Абонентом введенного ограничения режима потребления;</w:t>
      </w:r>
    </w:p>
    <w:p w14:paraId="2F400CC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C6" w14:textId="3739A71F"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755278">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2F400CC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2F400CC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2F400CC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lastRenderedPageBreak/>
        <w:t>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2F400CC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2F400CC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2F400CC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2F400CCD" w14:textId="39CD2CA6"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w:t>
      </w:r>
      <w:r w:rsidR="00CB76BE">
        <w:rPr>
          <w:rFonts w:ascii="Times New Roman CYR" w:hAnsi="Times New Roman CYR" w:cs="Times New Roman CYR"/>
          <w:sz w:val="22"/>
          <w:szCs w:val="22"/>
          <w:lang w:val="ru-RU" w:bidi="ar-SA"/>
        </w:rPr>
        <w:t>с</w:t>
      </w:r>
      <w:r w:rsidR="007B2E65">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объекты электроэнергетики потребителя присоединены к бесхозяйным объектам электросетевого хозяйства;</w:t>
      </w:r>
    </w:p>
    <w:p w14:paraId="2F400CCE" w14:textId="40BFDD92"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«Субисполнитель» - </w:t>
      </w:r>
      <w:r w:rsidR="00CB76BE">
        <w:rPr>
          <w:rFonts w:ascii="Times New Roman CYR" w:hAnsi="Times New Roman CYR" w:cs="Times New Roman CYR"/>
          <w:sz w:val="22"/>
          <w:szCs w:val="22"/>
          <w:lang w:val="ru-RU" w:bidi="ar-SA"/>
        </w:rPr>
        <w:t>с</w:t>
      </w:r>
      <w:r w:rsidR="008036BF">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либо иное лицо, которые не оказывают услуг по передаче электрической энергии и к энергопринимающим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2F400CC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2F400CD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 При налич</w:t>
      </w:r>
      <w:proofErr w:type="gramStart"/>
      <w:r>
        <w:rPr>
          <w:rFonts w:ascii="Times New Roman CYR" w:hAnsi="Times New Roman CYR" w:cs="Times New Roman CYR"/>
          <w:sz w:val="22"/>
          <w:szCs w:val="22"/>
          <w:lang w:val="ru-RU" w:bidi="ar-SA"/>
        </w:rPr>
        <w:t>ии у А</w:t>
      </w:r>
      <w:proofErr w:type="gramEnd"/>
      <w:r>
        <w:rPr>
          <w:rFonts w:ascii="Times New Roman CYR" w:hAnsi="Times New Roman CYR" w:cs="Times New Roman CYR"/>
          <w:sz w:val="22"/>
          <w:szCs w:val="22"/>
          <w:lang w:val="ru-RU" w:bidi="ar-SA"/>
        </w:rPr>
        <w:t>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2F400CD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F400CD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2F400CD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2F400CD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w:t>
      </w:r>
      <w:r>
        <w:rPr>
          <w:rFonts w:ascii="Times New Roman CYR" w:hAnsi="Times New Roman CYR" w:cs="Times New Roman CYR"/>
          <w:color w:val="080000"/>
          <w:sz w:val="22"/>
          <w:szCs w:val="22"/>
          <w:lang w:val="ru-RU" w:bidi="ar-SA"/>
        </w:rPr>
        <w:lastRenderedPageBreak/>
        <w:t>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2F400CD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2F400CD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2F400CD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2F400CD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2F400CD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2F400CD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2F400CD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2F400CD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переток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2F400CD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2F400CD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2F400CD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2F400CE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CE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2F400CE2"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4.1. Гарантирующий поставщик имеет право:</w:t>
      </w:r>
    </w:p>
    <w:p w14:paraId="2F400CE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2F400CE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 (или) частичном ограничении будет считаться надлежащим, если оно произведено одним из следующих способов:</w:t>
      </w:r>
    </w:p>
    <w:p w14:paraId="2F400CE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F400CE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2F400CE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F400CE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F400CEA" w14:textId="639CFD8A" w:rsidR="009E4EA1" w:rsidRDefault="009E4EA1" w:rsidP="00A448C0">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F400CE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2F400CE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2F400CE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F400CE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2F400CE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2F400CF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позволяющим подтвердить доставку Абоненту указанного уведомления, способом.</w:t>
      </w:r>
    </w:p>
    <w:p w14:paraId="2F400CF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2F400CF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w:t>
      </w:r>
      <w:r>
        <w:rPr>
          <w:rFonts w:ascii="Times New Roman CYR" w:hAnsi="Times New Roman CYR" w:cs="Times New Roman CYR"/>
          <w:color w:val="080000"/>
          <w:sz w:val="22"/>
          <w:szCs w:val="22"/>
          <w:lang w:val="ru-RU" w:bidi="ar-SA"/>
        </w:rPr>
        <w:lastRenderedPageBreak/>
        <w:t>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2F400CF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2F400CF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w:t>
      </w:r>
      <w:r>
        <w:rPr>
          <w:rFonts w:ascii="Times New Roman CYR" w:hAnsi="Times New Roman CYR" w:cs="Times New Roman CYR"/>
          <w:color w:val="000000"/>
          <w:sz w:val="22"/>
          <w:szCs w:val="22"/>
          <w:lang w:val="ru-RU" w:bidi="ar-SA"/>
        </w:rPr>
        <w:t>стоимость безучетного потребления электрической энергии в соответствии с действующим законодательством РФ.</w:t>
      </w:r>
    </w:p>
    <w:p w14:paraId="2F400CF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2F400CF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осмотра измерительных комплексов;</w:t>
      </w:r>
    </w:p>
    <w:p w14:paraId="2F400CF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F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2F400CF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2F400CF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F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2F400CF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xml:space="preserve">4.1.8. </w:t>
      </w:r>
      <w:proofErr w:type="gramStart"/>
      <w:r>
        <w:rPr>
          <w:rFonts w:ascii="Times New Roman CYR" w:hAnsi="Times New Roman CYR" w:cs="Times New Roman CYR"/>
          <w:color w:val="00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00000"/>
          <w:sz w:val="22"/>
          <w:szCs w:val="22"/>
          <w:lang w:val="ru-RU" w:bidi="ar-SA"/>
        </w:rPr>
        <w:t xml:space="preserve"> потребления, до даты </w:t>
      </w:r>
      <w:proofErr w:type="gramStart"/>
      <w:r>
        <w:rPr>
          <w:rFonts w:ascii="Times New Roman CYR" w:hAnsi="Times New Roman CYR" w:cs="Times New Roman CYR"/>
          <w:color w:val="00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00000"/>
          <w:sz w:val="22"/>
          <w:szCs w:val="22"/>
          <w:lang w:val="ru-RU" w:bidi="ar-SA"/>
        </w:rPr>
        <w:t>.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2F400CF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4.1.9. Направлять в банк Абонента платежные требования с акцептом или на условиях заранее данного акцепта.</w:t>
      </w:r>
    </w:p>
    <w:p w14:paraId="2F400CF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CFF"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sz w:val="22"/>
          <w:szCs w:val="22"/>
          <w:lang w:val="ru-RU" w:bidi="ar-SA"/>
        </w:rPr>
      </w:pPr>
      <w:r w:rsidRPr="0015238A">
        <w:rPr>
          <w:rFonts w:ascii="Times New Roman CYR" w:hAnsi="Times New Roman CYR" w:cs="Times New Roman CYR"/>
          <w:bCs/>
          <w:color w:val="080000"/>
          <w:sz w:val="22"/>
          <w:szCs w:val="22"/>
          <w:lang w:val="ru-RU" w:bidi="ar-SA"/>
        </w:rPr>
        <w:t>4.2</w:t>
      </w:r>
      <w:r w:rsidRPr="0015238A">
        <w:rPr>
          <w:rFonts w:ascii="Times New Roman CYR" w:hAnsi="Times New Roman CYR" w:cs="Times New Roman CYR"/>
          <w:bCs/>
          <w:sz w:val="22"/>
          <w:szCs w:val="22"/>
          <w:lang w:val="ru-RU" w:bidi="ar-SA"/>
        </w:rPr>
        <w:t>. Абонент имеет право:</w:t>
      </w:r>
    </w:p>
    <w:p w14:paraId="2F400D0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2F400D0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sz w:val="22"/>
          <w:szCs w:val="22"/>
          <w:lang w:val="ru-RU" w:bidi="ar-SA"/>
        </w:rPr>
        <w:br/>
        <w:t>670 кВт выбрать одну из шести ценовых категорий;</w:t>
      </w:r>
    </w:p>
    <w:p w14:paraId="2F400D0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не менее</w:t>
      </w:r>
      <w:r>
        <w:rPr>
          <w:rFonts w:ascii="Times New Roman CYR" w:hAnsi="Times New Roman CYR" w:cs="Times New Roman CYR"/>
          <w:sz w:val="22"/>
          <w:szCs w:val="22"/>
          <w:lang w:val="ru-RU" w:bidi="ar-SA"/>
        </w:rPr>
        <w:br/>
        <w:t>670 кВт выбрать одну из четырех ценовых категорий с 3 по 6.</w:t>
      </w:r>
    </w:p>
    <w:p w14:paraId="2F400D0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 В случае утраты Гарантирующим поставщиком его статуса, Абонент имеет право:</w:t>
      </w:r>
    </w:p>
    <w:p w14:paraId="2F400D04"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перейти на обслуживание к организации, которой присвоен статус гарантирующего поставщика;</w:t>
      </w:r>
    </w:p>
    <w:p w14:paraId="2F400D0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F400D0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4.2.3. 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2F400D0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
    <w:p w14:paraId="2F400D0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 xml:space="preserve">5. Учет и контроль потребления электрической энергии (мощности) </w:t>
      </w:r>
    </w:p>
    <w:p w14:paraId="2F400D0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2F400D0A" w14:textId="5E0D51F9"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w:t>
      </w:r>
      <w:r w:rsidR="008036B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2F400D0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2F400D0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2F400D0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F400D0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2F400D0F" w14:textId="3BD3EDBB"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w:t>
      </w:r>
      <w:r w:rsidR="00FC6EC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w:t>
      </w:r>
    </w:p>
    <w:p w14:paraId="2F400D10" w14:textId="1BA40501"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3B4E27">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F400D1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 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2F400D12"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F400D1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2F400D14" w14:textId="7E60BE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5.4.1.1. </w:t>
      </w:r>
      <w:proofErr w:type="gramStart"/>
      <w:r>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w:t>
      </w:r>
      <w:r w:rsidR="0017652F">
        <w:rPr>
          <w:rFonts w:ascii="Times New Roman CYR" w:hAnsi="Times New Roman CYR" w:cs="Times New Roman CYR"/>
          <w:color w:val="080000"/>
          <w:sz w:val="22"/>
          <w:szCs w:val="22"/>
          <w:lang w:val="ru-RU" w:bidi="ar-SA"/>
        </w:rPr>
        <w:t>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164D1255" w14:textId="77777777" w:rsidR="0015238A" w:rsidRDefault="0015238A">
      <w:pPr>
        <w:spacing w:after="200" w:line="276" w:lineRule="auto"/>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2F400D15" w14:textId="1D3506A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5.4.1.2. При отсутствии замещающей информации, объем потребления электрической энергии определяется по формуле:</w:t>
      </w:r>
    </w:p>
    <w:p w14:paraId="2F400D1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7"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W=Pmax*T</w:t>
      </w:r>
      <w:r>
        <w:rPr>
          <w:rFonts w:ascii="Times New Roman CYR" w:hAnsi="Times New Roman CYR" w:cs="Times New Roman CYR"/>
          <w:color w:val="080000"/>
          <w:sz w:val="22"/>
          <w:szCs w:val="22"/>
          <w:lang w:val="ru-RU" w:bidi="ar-SA"/>
        </w:rPr>
        <w:tab/>
        <w:t>(1)</w:t>
      </w:r>
    </w:p>
    <w:p w14:paraId="2F400D1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9" w14:textId="16D79EED"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Pmax - </w:t>
      </w:r>
      <w:r w:rsidR="00336E5E" w:rsidRPr="009739A0">
        <w:rPr>
          <w:rFonts w:ascii="Times New Roman CYR" w:hAnsi="Times New Roman CYR"/>
          <w:color w:val="080000"/>
          <w:sz w:val="22"/>
          <w:szCs w:val="22"/>
          <w:lang w:val="ru-RU"/>
        </w:rPr>
        <w:t>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r w:rsidR="00336E5E">
        <w:rPr>
          <w:rFonts w:ascii="Times New Roman CYR" w:hAnsi="Times New Roman CYR"/>
          <w:color w:val="080000"/>
          <w:sz w:val="22"/>
          <w:szCs w:val="22"/>
          <w:lang w:val="ru-RU"/>
        </w:rPr>
        <w:t xml:space="preserve">; </w:t>
      </w:r>
      <w:proofErr w:type="gramEnd"/>
    </w:p>
    <w:p w14:paraId="2F400D1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T - количество часов в расчетном периоде, при определении объема потребления электрической энергии (мощности). </w:t>
      </w:r>
    </w:p>
    <w:p w14:paraId="2F400D1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2F400D1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D"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spellStart"/>
      <w:r>
        <w:rPr>
          <w:rFonts w:ascii="Times New Roman CYR" w:hAnsi="Times New Roman CYR" w:cs="Times New Roman CYR"/>
          <w:color w:val="080000"/>
          <w:sz w:val="22"/>
          <w:szCs w:val="22"/>
          <w:lang w:val="ru-RU" w:bidi="ar-SA"/>
        </w:rPr>
        <w:t>Wh</w:t>
      </w:r>
      <w:proofErr w:type="spellEnd"/>
      <w:r>
        <w:rPr>
          <w:rFonts w:ascii="Times New Roman CYR" w:hAnsi="Times New Roman CYR" w:cs="Times New Roman CYR"/>
          <w:color w:val="080000"/>
          <w:sz w:val="22"/>
          <w:szCs w:val="22"/>
          <w:lang w:val="ru-RU" w:bidi="ar-SA"/>
        </w:rPr>
        <w:t>=W/T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2F400D1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 - объем потребления электрической энергии в соответствующей точке поставки, определенный по формуле (1).</w:t>
      </w:r>
    </w:p>
    <w:p w14:paraId="2F400D20" w14:textId="6C0A4BFD"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недопуска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расчетным приборам учета</w:t>
      </w:r>
      <w:r w:rsidR="003A2140">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2F400D21"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5.4.3.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2F400D22" w14:textId="77777777" w:rsidR="009E4EA1" w:rsidRDefault="009E4EA1" w:rsidP="009E4EA1">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2F400D23"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2F400D24"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2F400D25" w14:textId="77777777" w:rsidR="009E4EA1" w:rsidRDefault="009E4EA1" w:rsidP="009E4EA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2F400D26"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2F400D27" w14:textId="77777777" w:rsidR="009E4EA1" w:rsidRDefault="009E4EA1" w:rsidP="009E4EA1">
      <w:pPr>
        <w:tabs>
          <w:tab w:val="left" w:pos="567"/>
        </w:tabs>
        <w:autoSpaceDE w:val="0"/>
        <w:autoSpaceDN w:val="0"/>
        <w:adjustRightInd w:val="0"/>
        <w:ind w:firstLine="56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Pr>
          <w:rFonts w:ascii="Times New Roman CYR" w:hAnsi="Times New Roman CYR" w:cs="Times New Roman CYR"/>
          <w:color w:val="080000"/>
          <w:sz w:val="22"/>
          <w:szCs w:val="22"/>
          <w:lang w:val="ru-RU" w:bidi="ar-SA"/>
        </w:rPr>
        <w:tab/>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2F400D28" w14:textId="68F8B3E6"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5.4.6. </w:t>
      </w:r>
      <w:r>
        <w:rPr>
          <w:rFonts w:ascii="Times New Roman CYR" w:hAnsi="Times New Roman CYR" w:cs="Times New Roman CYR"/>
          <w:color w:val="000000"/>
          <w:sz w:val="22"/>
          <w:szCs w:val="22"/>
          <w:lang w:val="ru-RU" w:bidi="ar-SA"/>
        </w:rPr>
        <w:t xml:space="preserve">В случае безучетного потребления электрической энергии объем безучетного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Абонента, в том числе при взаимодействии с </w:t>
      </w:r>
      <w:r w:rsidR="003A2140">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 xml:space="preserve">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w:t>
      </w:r>
      <w:r>
        <w:rPr>
          <w:rFonts w:ascii="Times New Roman CYR" w:hAnsi="Times New Roman CYR" w:cs="Times New Roman CYR"/>
          <w:color w:val="000000"/>
          <w:sz w:val="22"/>
          <w:szCs w:val="22"/>
          <w:lang w:val="ru-RU" w:bidi="ar-SA"/>
        </w:rPr>
        <w:lastRenderedPageBreak/>
        <w:t>потребления электрической энергии</w:t>
      </w:r>
      <w:r>
        <w:rPr>
          <w:rFonts w:ascii="Times New Roman CYR" w:hAnsi="Times New Roman CYR" w:cs="Times New Roman CYR"/>
          <w:color w:val="080000"/>
          <w:sz w:val="22"/>
          <w:szCs w:val="22"/>
          <w:lang w:val="ru-RU" w:bidi="ar-SA"/>
        </w:rPr>
        <w:t>.</w:t>
      </w:r>
    </w:p>
    <w:p w14:paraId="2F400D2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2F400D2A"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2F400D2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2F400D2C" w14:textId="281A7B89"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2F400D2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5.4.8. </w:t>
      </w:r>
      <w:proofErr w:type="gramStart"/>
      <w:r>
        <w:rPr>
          <w:rFonts w:ascii="Times New Roman CYR" w:hAnsi="Times New Roman CYR" w:cs="Times New Roman CYR"/>
          <w:color w:val="080000"/>
          <w:sz w:val="22"/>
          <w:szCs w:val="22"/>
          <w:lang w:val="ru-RU" w:bidi="ar-SA"/>
        </w:rPr>
        <w:t xml:space="preserve">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Pr>
          <w:rFonts w:ascii="Times New Roman CYR" w:hAnsi="Times New Roman CYR" w:cs="Times New Roman CYR"/>
          <w:sz w:val="22"/>
          <w:szCs w:val="22"/>
          <w:lang w:val="ru-RU" w:bidi="ar-SA"/>
        </w:rPr>
        <w:t>почасовые объемы потребления электрической</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энергии, </w:t>
      </w:r>
      <w:r>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w:t>
      </w:r>
      <w:proofErr w:type="gramEnd"/>
      <w:r>
        <w:rPr>
          <w:rFonts w:ascii="Times New Roman CYR" w:hAnsi="Times New Roman CYR" w:cs="Times New Roman CYR"/>
          <w:color w:val="080000"/>
          <w:sz w:val="22"/>
          <w:szCs w:val="22"/>
          <w:lang w:val="ru-RU" w:bidi="ar-SA"/>
        </w:rPr>
        <w:t xml:space="preserve">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F400D2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roofErr w:type="gramEnd"/>
    </w:p>
    <w:p w14:paraId="2F400D2F" w14:textId="252DAC35"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w:t>
      </w:r>
      <w:r w:rsidR="00EB05D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w:t>
      </w:r>
      <w:r>
        <w:rPr>
          <w:rFonts w:ascii="Times New Roman CYR" w:hAnsi="Times New Roman CYR" w:cs="Times New Roman CYR"/>
          <w:sz w:val="22"/>
          <w:szCs w:val="22"/>
          <w:lang w:val="ru-RU" w:bidi="ar-SA"/>
        </w:rPr>
        <w:lastRenderedPageBreak/>
        <w:t>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w:t>
      </w:r>
      <w:r w:rsidR="00FB0B63" w:rsidRPr="00FB0B63">
        <w:rPr>
          <w:rFonts w:ascii="Times New Roman CYR" w:hAnsi="Times New Roman CYR" w:cs="Times New Roman CYR"/>
          <w:color w:val="000000"/>
          <w:sz w:val="22"/>
          <w:szCs w:val="22"/>
          <w:lang w:val="ru-RU" w:bidi="ar-SA"/>
        </w:rPr>
        <w:t>принимается исходя из замещающей информации</w:t>
      </w:r>
      <w:r>
        <w:rPr>
          <w:rFonts w:ascii="Times New Roman CYR" w:hAnsi="Times New Roman CYR" w:cs="Times New Roman CYR"/>
          <w:color w:val="000000"/>
          <w:sz w:val="22"/>
          <w:szCs w:val="22"/>
          <w:lang w:val="ru-RU" w:bidi="ar-SA"/>
        </w:rPr>
        <w:t>.</w:t>
      </w:r>
    </w:p>
    <w:p w14:paraId="2F400D30" w14:textId="77777777" w:rsidR="009E4EA1" w:rsidRDefault="009E4EA1" w:rsidP="009E4EA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5.5.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2F400D3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2F400D3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2F400D33" w14:textId="2CA2435D"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w:t>
      </w:r>
      <w:r w:rsidR="00EB05D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2F400D3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 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2F400D3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2F400D3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w:t>
      </w:r>
      <w:proofErr w:type="gramStart"/>
      <w:r>
        <w:rPr>
          <w:rFonts w:ascii="Times New Roman CYR" w:hAnsi="Times New Roman CYR" w:cs="Times New Roman CYR"/>
          <w:color w:val="080000"/>
          <w:sz w:val="22"/>
          <w:szCs w:val="22"/>
          <w:lang w:val="ru-RU" w:bidi="ar-SA"/>
        </w:rPr>
        <w:t>и(</w:t>
      </w:r>
      <w:proofErr w:type="gramEnd"/>
      <w:r>
        <w:rPr>
          <w:rFonts w:ascii="Times New Roman CYR" w:hAnsi="Times New Roman CYR" w:cs="Times New Roman CYR"/>
          <w:color w:val="080000"/>
          <w:sz w:val="22"/>
          <w:szCs w:val="22"/>
          <w:lang w:val="ru-RU" w:bidi="ar-SA"/>
        </w:rPr>
        <w:t>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2F400D3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2F400D3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5.9. </w:t>
      </w:r>
      <w:proofErr w:type="gramStart"/>
      <w:r>
        <w:rPr>
          <w:rFonts w:ascii="Times New Roman CYR" w:hAnsi="Times New Roman CYR" w:cs="Times New Roman CYR"/>
          <w:color w:val="080000"/>
          <w:sz w:val="22"/>
          <w:szCs w:val="22"/>
          <w:lang w:val="ru-RU" w:bidi="ar-SA"/>
        </w:rPr>
        <w:t xml:space="preserve">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w:t>
      </w:r>
      <w:r>
        <w:rPr>
          <w:rFonts w:ascii="Times New Roman CYR" w:hAnsi="Times New Roman CYR" w:cs="Times New Roman CYR"/>
          <w:color w:val="080000"/>
          <w:sz w:val="22"/>
          <w:szCs w:val="22"/>
          <w:lang w:val="ru-RU" w:bidi="ar-SA"/>
        </w:rPr>
        <w:lastRenderedPageBreak/>
        <w:t>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2F400D39" w14:textId="77777777"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2F400D3A" w14:textId="6CB4F8F2" w:rsidR="009E4EA1" w:rsidRPr="009739A0" w:rsidRDefault="00FC7632" w:rsidP="009E4EA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9739A0">
        <w:rPr>
          <w:rFonts w:ascii="Times New Roman CYR" w:hAnsi="Times New Roman CYR" w:cs="Times New Roman CYR"/>
          <w:bCs/>
          <w:color w:val="080000"/>
          <w:sz w:val="22"/>
          <w:szCs w:val="22"/>
          <w:lang w:val="ru-RU" w:bidi="ar-SA"/>
        </w:rPr>
        <w:t>5.11.</w:t>
      </w:r>
      <w:r>
        <w:rPr>
          <w:rFonts w:ascii="Times New Roman CYR" w:hAnsi="Times New Roman CYR" w:cs="Times New Roman CYR"/>
          <w:bCs/>
          <w:color w:val="080000"/>
          <w:sz w:val="22"/>
          <w:szCs w:val="22"/>
          <w:lang w:val="ru-RU" w:bidi="ar-SA"/>
        </w:rPr>
        <w:t xml:space="preserve"> </w:t>
      </w:r>
      <w:proofErr w:type="gramStart"/>
      <w:r w:rsidRPr="009739A0">
        <w:rPr>
          <w:rFonts w:ascii="Times New Roman" w:hAnsi="Times New Roman"/>
          <w:sz w:val="22"/>
          <w:lang w:val="ru-RU" w:bidi="ar-SA"/>
        </w:rPr>
        <w:t xml:space="preserve">В случае если Абонентом осуществлено в установленном законодательством порядке </w:t>
      </w:r>
      <w:r w:rsidRPr="009739A0">
        <w:rPr>
          <w:bCs/>
          <w:sz w:val="22"/>
          <w:lang w:val="ru-RU"/>
        </w:rPr>
        <w:t xml:space="preserve">технологическое присоединение </w:t>
      </w:r>
      <w:r w:rsidRPr="009739A0">
        <w:rPr>
          <w:rFonts w:ascii="Times New Roman" w:hAnsi="Times New Roman"/>
          <w:sz w:val="22"/>
          <w:lang w:val="ru-RU" w:bidi="ar-SA"/>
        </w:rPr>
        <w:t xml:space="preserve">объекта </w:t>
      </w:r>
      <w:proofErr w:type="spellStart"/>
      <w:r w:rsidRPr="009739A0">
        <w:rPr>
          <w:rFonts w:ascii="Times New Roman" w:hAnsi="Times New Roman"/>
          <w:sz w:val="22"/>
          <w:lang w:val="ru-RU" w:bidi="ar-SA"/>
        </w:rPr>
        <w:t>микрогенерации</w:t>
      </w:r>
      <w:proofErr w:type="spellEnd"/>
      <w:r w:rsidRPr="009739A0">
        <w:rPr>
          <w:rFonts w:ascii="Times New Roman" w:hAnsi="Times New Roman"/>
          <w:sz w:val="22"/>
          <w:lang w:val="ru-RU" w:bidi="ar-SA"/>
        </w:rPr>
        <w:t xml:space="preserve"> </w:t>
      </w:r>
      <w:r w:rsidRPr="009739A0">
        <w:rPr>
          <w:bCs/>
          <w:sz w:val="22"/>
          <w:lang w:val="ru-RU"/>
        </w:rPr>
        <w:t>к объе</w:t>
      </w:r>
      <w:r w:rsidR="0007403B">
        <w:rPr>
          <w:bCs/>
          <w:sz w:val="22"/>
          <w:lang w:val="ru-RU"/>
        </w:rPr>
        <w:t>ктам электросетевого хозяйства С</w:t>
      </w:r>
      <w:r w:rsidRPr="009739A0">
        <w:rPr>
          <w:bCs/>
          <w:sz w:val="22"/>
          <w:lang w:val="ru-RU"/>
        </w:rPr>
        <w:t xml:space="preserve">етевой организации и заключен договор на </w:t>
      </w:r>
      <w:r w:rsidRPr="009739A0">
        <w:rPr>
          <w:sz w:val="22"/>
          <w:lang w:val="ru-RU"/>
        </w:rPr>
        <w:t xml:space="preserve">продажу Гарантирующему поставщику электрической энергии (мощности), произведенной на принадлежащих ему объектах </w:t>
      </w:r>
      <w:proofErr w:type="spellStart"/>
      <w:r w:rsidRPr="009739A0">
        <w:rPr>
          <w:sz w:val="22"/>
          <w:lang w:val="ru-RU"/>
        </w:rPr>
        <w:t>микрогенерации</w:t>
      </w:r>
      <w:proofErr w:type="spellEnd"/>
      <w:r w:rsidRPr="009739A0">
        <w:rPr>
          <w:rFonts w:ascii="Times New Roman" w:hAnsi="Times New Roman"/>
          <w:sz w:val="22"/>
          <w:lang w:val="ru-RU" w:bidi="ar-SA"/>
        </w:rPr>
        <w:t>, то объем потребления элект</w:t>
      </w:r>
      <w:r w:rsidR="00B8254F">
        <w:rPr>
          <w:rFonts w:ascii="Times New Roman" w:hAnsi="Times New Roman"/>
          <w:sz w:val="22"/>
          <w:lang w:val="ru-RU" w:bidi="ar-SA"/>
        </w:rPr>
        <w:t>рической энергии по настоящему Д</w:t>
      </w:r>
      <w:r w:rsidRPr="009739A0">
        <w:rPr>
          <w:rFonts w:ascii="Times New Roman" w:hAnsi="Times New Roman"/>
          <w:sz w:val="22"/>
          <w:lang w:val="ru-RU" w:bidi="ar-SA"/>
        </w:rPr>
        <w:t>оговору определяется с учетом особенностей, установленных</w:t>
      </w:r>
      <w:r>
        <w:rPr>
          <w:rFonts w:ascii="Times New Roman CYR" w:hAnsi="Times New Roman CYR" w:cs="Times New Roman CYR"/>
          <w:bCs/>
          <w:color w:val="080000"/>
          <w:sz w:val="22"/>
          <w:szCs w:val="22"/>
          <w:lang w:val="ru-RU" w:bidi="ar-SA"/>
        </w:rPr>
        <w:t xml:space="preserve"> </w:t>
      </w:r>
      <w:hyperlink r:id="rId9" w:history="1">
        <w:r w:rsidRPr="009739A0">
          <w:rPr>
            <w:rStyle w:val="af5"/>
            <w:rFonts w:ascii="Times New Roman" w:hAnsi="Times New Roman"/>
            <w:sz w:val="22"/>
            <w:lang w:val="ru-RU" w:bidi="ar-SA"/>
          </w:rPr>
          <w:t>Основными положениями</w:t>
        </w:r>
      </w:hyperlink>
      <w:r>
        <w:rPr>
          <w:sz w:val="22"/>
          <w:lang w:val="ru-RU"/>
        </w:rPr>
        <w:t xml:space="preserve"> </w:t>
      </w:r>
      <w:r w:rsidRPr="009739A0">
        <w:rPr>
          <w:rFonts w:ascii="Times New Roman" w:hAnsi="Times New Roman"/>
          <w:sz w:val="22"/>
          <w:lang w:val="ru-RU" w:bidi="ar-SA"/>
        </w:rPr>
        <w:t xml:space="preserve">для потребителей, являющихся собственниками или иными законными владельцами объектов </w:t>
      </w:r>
      <w:proofErr w:type="spellStart"/>
      <w:r w:rsidRPr="009739A0">
        <w:rPr>
          <w:rFonts w:ascii="Times New Roman" w:hAnsi="Times New Roman"/>
          <w:sz w:val="22"/>
          <w:lang w:val="ru-RU" w:bidi="ar-SA"/>
        </w:rPr>
        <w:t>микрогенерации</w:t>
      </w:r>
      <w:proofErr w:type="spellEnd"/>
      <w:r>
        <w:rPr>
          <w:rFonts w:ascii="Times New Roman" w:hAnsi="Times New Roman"/>
          <w:sz w:val="22"/>
          <w:lang w:val="ru-RU" w:bidi="ar-SA"/>
        </w:rPr>
        <w:t>.</w:t>
      </w:r>
      <w:proofErr w:type="gramEnd"/>
    </w:p>
    <w:p w14:paraId="25C4FC4E" w14:textId="77777777" w:rsidR="0015238A" w:rsidRDefault="0015238A"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D3B"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 Порядок проведения расчетов</w:t>
      </w:r>
    </w:p>
    <w:p w14:paraId="2F400D3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2F400D3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2F400D3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2F400D3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F400D4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(www.eens.ru).</w:t>
      </w:r>
    </w:p>
    <w:p w14:paraId="2F400D4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2F400D4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2F400D4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F400D4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2F400D4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2F400D4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2F400D4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2F400D4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2F400D4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2F400D4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Договора.</w:t>
      </w:r>
    </w:p>
    <w:p w14:paraId="2F400D4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2F400D4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2F400D4D"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2F400D4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2F400D4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2F400D5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2F400D5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2F400D5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2F400D5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F400D5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6.11. 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2F400D5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2F400D5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2F400D5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7. Порядок изменения и расторжения Договора</w:t>
      </w:r>
    </w:p>
    <w:p w14:paraId="2F400D5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 Договор может быть расторгнут:</w:t>
      </w:r>
    </w:p>
    <w:p w14:paraId="2F400D5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 По соглашению Сторон;</w:t>
      </w:r>
    </w:p>
    <w:p w14:paraId="2F400D5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 По инициативе Абонента, при условии:</w:t>
      </w:r>
    </w:p>
    <w:p w14:paraId="2F400D5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2F400D5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2F400D5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2F400D5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2F400D6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Расторжение настоящего Договора не освобождает Стороны от возникших по нему обязательств в части расчетов.</w:t>
      </w:r>
    </w:p>
    <w:p w14:paraId="2F400D6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2F400D6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2F400D6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2F400D6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2F400D6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2F400D6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2F400D6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2F400D6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w:t>
      </w:r>
      <w:r>
        <w:rPr>
          <w:rFonts w:ascii="Times New Roman CYR" w:hAnsi="Times New Roman CYR" w:cs="Times New Roman CYR"/>
          <w:color w:val="080000"/>
          <w:sz w:val="22"/>
          <w:szCs w:val="22"/>
          <w:lang w:val="ru-RU" w:bidi="ar-SA"/>
        </w:rPr>
        <w:lastRenderedPageBreak/>
        <w:t>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2F400D6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F400D6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6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2F400D6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2F400D6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2F400D7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2F400D7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2F400D7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w:t>
      </w:r>
      <w:proofErr w:type="gramEnd"/>
      <w:r>
        <w:rPr>
          <w:rFonts w:ascii="Times New Roman CYR" w:hAnsi="Times New Roman CYR" w:cs="Times New Roman CYR"/>
          <w:color w:val="080000"/>
          <w:sz w:val="22"/>
          <w:szCs w:val="22"/>
          <w:lang w:val="ru-RU" w:bidi="ar-SA"/>
        </w:rPr>
        <w:t xml:space="preserve">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Pr>
          <w:rFonts w:ascii="Times New Roman CYR" w:hAnsi="Times New Roman CYR" w:cs="Times New Roman CYR"/>
          <w:color w:val="080000"/>
          <w:sz w:val="22"/>
          <w:szCs w:val="22"/>
          <w:lang w:val="ru-RU" w:bidi="ar-SA"/>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Times New Roman CYR" w:hAnsi="Times New Roman CYR" w:cs="Times New Roman CYR"/>
          <w:color w:val="080000"/>
          <w:sz w:val="22"/>
          <w:szCs w:val="22"/>
          <w:lang w:val="ru-RU" w:bidi="ar-SA"/>
        </w:rPr>
        <w:t>стосемидесятой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w:t>
      </w:r>
      <w:proofErr w:type="gramEnd"/>
      <w:r>
        <w:rPr>
          <w:rFonts w:ascii="Times New Roman CYR" w:hAnsi="Times New Roman CYR" w:cs="Times New Roman CYR"/>
          <w:color w:val="080000"/>
          <w:sz w:val="22"/>
          <w:szCs w:val="22"/>
          <w:lang w:val="ru-RU" w:bidi="ar-SA"/>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F400D7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2F400D7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2F400D7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2F400D7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8.4.1. За правильность расчета нерегулируемых цен в случае, когда неверный расчет цены </w:t>
      </w:r>
      <w:r>
        <w:rPr>
          <w:rFonts w:ascii="Times New Roman CYR" w:hAnsi="Times New Roman CYR" w:cs="Times New Roman CYR"/>
          <w:color w:val="080000"/>
          <w:sz w:val="22"/>
          <w:szCs w:val="22"/>
          <w:lang w:val="ru-RU" w:bidi="ar-SA"/>
        </w:rPr>
        <w:lastRenderedPageBreak/>
        <w:t>произошел вследствие предоставления неверных данных коммерческим оператором Оптового рынка электрической энергии (АО «АТС»).</w:t>
      </w:r>
    </w:p>
    <w:p w14:paraId="2F400D7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8.4.2.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6.9 настоящего Договора.</w:t>
      </w:r>
    </w:p>
    <w:p w14:paraId="2F400D7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79"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2F400D7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 Настоящий Договор вступает в силу с момента его подписания и распространяет свое действие на отношения, фактически сложившиеся между Сторонами с "__________" __________ __________ года, но не ранее даты и времени начала оказания услуг по передаче электрической энергии.</w:t>
      </w:r>
    </w:p>
    <w:p w14:paraId="2F400D7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 года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2F400D7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2F400D7D" w14:textId="77777777" w:rsidR="009E4EA1" w:rsidRDefault="009E4EA1" w:rsidP="009E4EA1">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2F400D7E" w14:textId="55CDCCA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D81F7B">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2F400D7F"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2F400D8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F400D8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F400D84" w14:textId="49F04132"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3026A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2F400D8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2F400D8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заказным письмом;</w:t>
      </w:r>
    </w:p>
    <w:p w14:paraId="2F400D8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телефонограммой;</w:t>
      </w:r>
    </w:p>
    <w:p w14:paraId="2F400D8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телеграммой;</w:t>
      </w:r>
    </w:p>
    <w:p w14:paraId="2F400D8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w:t>
      </w:r>
    </w:p>
    <w:p w14:paraId="2F400D8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 адресу электронной почты;</w:t>
      </w:r>
    </w:p>
    <w:p w14:paraId="2F400D8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w:t>
      </w:r>
      <w:r>
        <w:rPr>
          <w:rFonts w:ascii="Times New Roman CYR" w:hAnsi="Times New Roman CYR" w:cs="Times New Roman CYR"/>
          <w:sz w:val="22"/>
          <w:szCs w:val="22"/>
          <w:lang w:val="ru-RU" w:bidi="ar-SA"/>
        </w:rPr>
        <w:lastRenderedPageBreak/>
        <w:t>числе при исполнении других договоров) и Стороны подписали соответствующее соглашение к настоящему Договору;</w:t>
      </w:r>
    </w:p>
    <w:p w14:paraId="2F400D8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вручаются представителю Стороны;</w:t>
      </w:r>
    </w:p>
    <w:p w14:paraId="2F400D8D"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иным способом, позволяющим подтвердить факт направления документа Стороной.</w:t>
      </w:r>
    </w:p>
    <w:p w14:paraId="2F400D8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2F400D8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2F400D9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2F400D9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2F400D9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sz w:val="22"/>
          <w:szCs w:val="22"/>
          <w:lang w:val="ru-RU" w:bidi="ar-SA"/>
        </w:rPr>
        <w:t xml:space="preserve"> Арбитражного суда Свердловской области.</w:t>
      </w:r>
    </w:p>
    <w:p w14:paraId="2F400D9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9.4. Любая из Сторон вправе передать разногласия, возникшие при заключении настоящего </w:t>
      </w:r>
      <w:r>
        <w:rPr>
          <w:rFonts w:ascii="Times New Roman CYR" w:hAnsi="Times New Roman CYR" w:cs="Times New Roman CYR"/>
          <w:color w:val="000000"/>
          <w:sz w:val="22"/>
          <w:szCs w:val="22"/>
          <w:lang w:val="ru-RU" w:bidi="ar-SA"/>
        </w:rPr>
        <w:t>Договора, на рассмотрение суда.</w:t>
      </w:r>
    </w:p>
    <w:p w14:paraId="2F400D9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9.5. Настоящий Договор составлен в 2-х экземплярах, по одному экземпляру для каждой Стороны.</w:t>
      </w:r>
    </w:p>
    <w:p w14:paraId="2F400D9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D96"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2F400D9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2F400D9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9"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2F400D9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2F400D9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2F400D9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2F400D9D"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2F400D9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A0"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Сторон </w:t>
      </w:r>
    </w:p>
    <w:p w14:paraId="2F400DA1" w14:textId="77777777" w:rsidR="009E4EA1" w:rsidRDefault="009E4EA1" w:rsidP="009E4EA1">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2F400DA2" w14:textId="5331AC37" w:rsidR="009E4EA1" w:rsidRDefault="008E61B9"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w:t>
      </w:r>
      <w:r w:rsidR="009E4EA1">
        <w:rPr>
          <w:rFonts w:ascii="Times New Roman CYR" w:hAnsi="Times New Roman CYR" w:cs="Times New Roman CYR"/>
          <w:sz w:val="22"/>
          <w:szCs w:val="22"/>
          <w:lang w:val="ru-RU" w:bidi="ar-SA"/>
        </w:rPr>
        <w:t xml:space="preserve"> </w:t>
      </w:r>
    </w:p>
    <w:p w14:paraId="2F400DA3" w14:textId="33A889A1" w:rsidR="009E4EA1"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8E61B9">
        <w:rPr>
          <w:rFonts w:ascii="Times New Roman CYR" w:hAnsi="Times New Roman CYR" w:cs="Times New Roman CYR"/>
          <w:sz w:val="22"/>
          <w:szCs w:val="22"/>
          <w:lang w:val="ru-RU" w:bidi="ar-SA"/>
        </w:rPr>
        <w:t>620144, г. Екатеринбург, ул. Сурикова, дом № 48</w:t>
      </w:r>
    </w:p>
    <w:p w14:paraId="2F400DA4" w14:textId="2E5E0E7B" w:rsidR="009E4EA1" w:rsidRPr="009739A0"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9739A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9739A0">
        <w:rPr>
          <w:rFonts w:ascii="Times New Roman CYR" w:hAnsi="Times New Roman CYR" w:cs="Times New Roman CYR"/>
          <w:sz w:val="22"/>
          <w:szCs w:val="22"/>
          <w:lang w:val="ru-RU" w:bidi="ar-SA"/>
        </w:rPr>
        <w:t xml:space="preserve"> № 210</w:t>
      </w:r>
      <w:r w:rsidRPr="009739A0">
        <w:rPr>
          <w:rFonts w:ascii="Times New Roman CYR" w:hAnsi="Times New Roman CYR" w:cs="Times New Roman CYR"/>
          <w:sz w:val="22"/>
          <w:szCs w:val="22"/>
          <w:lang w:val="ru-RU" w:bidi="ar-SA"/>
        </w:rPr>
        <w:br/>
      </w:r>
      <w:r w:rsidR="008E61B9">
        <w:rPr>
          <w:rFonts w:ascii="Times New Roman CYR" w:hAnsi="Times New Roman CYR" w:cs="Times New Roman CYR"/>
          <w:sz w:val="22"/>
          <w:szCs w:val="22"/>
          <w:lang w:val="ru-RU" w:bidi="ar-SA"/>
        </w:rPr>
        <w:t>ИНН 6671250899, КПП 785150001, ОГРН 1086658002617</w:t>
      </w:r>
    </w:p>
    <w:p w14:paraId="11314892" w14:textId="1110035F" w:rsidR="008E61B9" w:rsidRPr="00BC205D" w:rsidRDefault="008E61B9" w:rsidP="0015238A">
      <w:pPr>
        <w:autoSpaceDE w:val="0"/>
        <w:autoSpaceDN w:val="0"/>
        <w:adjustRightInd w:val="0"/>
        <w:ind w:right="661"/>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40702810316160030915в Уральский банк ПАО Сбербанк г.</w:t>
      </w:r>
      <w:r w:rsidR="0015238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Екатеринбург, к/с 30101810500000000674</w:t>
      </w:r>
    </w:p>
    <w:p w14:paraId="2F400DA6" w14:textId="7C38BC1F"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15238A">
        <w:rPr>
          <w:rFonts w:ascii="Times New Roman CYR" w:hAnsi="Times New Roman CYR" w:cs="Times New Roman CYR"/>
          <w:sz w:val="22"/>
          <w:szCs w:val="22"/>
          <w:lang w:val="ru-RU" w:bidi="ar-SA"/>
        </w:rPr>
        <w:t>___________________________________________________</w:t>
      </w:r>
    </w:p>
    <w:p w14:paraId="2F400DA8" w14:textId="3BE1F0A2"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eens</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ru</w:t>
      </w:r>
    </w:p>
    <w:p w14:paraId="2F400DA9" w14:textId="77777777"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p>
    <w:p w14:paraId="2F400DA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2F400DAB"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2F400DAC"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9E4EA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9E4EA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sidRPr="009E4EA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p>
    <w:p w14:paraId="2F400DAD" w14:textId="65D95436" w:rsidR="009E4EA1" w:rsidRDefault="009E4EA1" w:rsidP="0015238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ogranichenie@eens.ru</w:t>
      </w:r>
    </w:p>
    <w:p w14:paraId="2F400DAF" w14:textId="5D8081E5" w:rsidR="009E4EA1" w:rsidRDefault="009E4EA1" w:rsidP="009E4EA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Абонент:</w:t>
      </w:r>
    </w:p>
    <w:p w14:paraId="2F400DB0" w14:textId="260405B6"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________________________________________________________________________</w:t>
      </w:r>
    </w:p>
    <w:p w14:paraId="2F400DB1" w14:textId="035BD097"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w:t>
      </w:r>
    </w:p>
    <w:p w14:paraId="2F400DB2" w14:textId="745DF08B" w:rsidR="009E4EA1" w:rsidRP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w:t>
      </w:r>
    </w:p>
    <w:p w14:paraId="2F400DB3" w14:textId="52E1ED78"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_______________________________________________________</w:t>
      </w:r>
    </w:p>
    <w:p w14:paraId="2F400DB4" w14:textId="406000DE"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15238A">
        <w:rPr>
          <w:rFonts w:ascii="Times New Roman CYR" w:hAnsi="Times New Roman CYR" w:cs="Times New Roman CYR"/>
          <w:sz w:val="22"/>
          <w:szCs w:val="22"/>
          <w:lang w:val="ru-RU" w:bidi="ar-SA"/>
        </w:rPr>
        <w:t>_______________________________________</w:t>
      </w:r>
    </w:p>
    <w:p w14:paraId="2F400DB5" w14:textId="3E0E0A2F"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sidRPr="00BC205D">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w:t>
      </w:r>
    </w:p>
    <w:p w14:paraId="2F400DB7" w14:textId="13839518"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C205D">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BC205D">
        <w:rPr>
          <w:rFonts w:ascii="Times New Roman CYR" w:hAnsi="Times New Roman CYR" w:cs="Times New Roman CYR"/>
          <w:sz w:val="22"/>
          <w:szCs w:val="22"/>
          <w:lang w:val="ru-RU" w:bidi="ar-SA"/>
        </w:rPr>
        <w:t xml:space="preserve"> __________</w:t>
      </w:r>
      <w:r w:rsidR="0015238A">
        <w:rPr>
          <w:rFonts w:ascii="Times New Roman CYR" w:hAnsi="Times New Roman CYR" w:cs="Times New Roman CYR"/>
          <w:sz w:val="22"/>
          <w:szCs w:val="22"/>
          <w:lang w:val="ru-RU" w:bidi="ar-SA"/>
        </w:rPr>
        <w:t>_______</w:t>
      </w:r>
    </w:p>
    <w:p w14:paraId="2F400D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F400DB9"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__________</w:t>
      </w:r>
    </w:p>
    <w:p w14:paraId="2F400DBA"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BC205D">
        <w:rPr>
          <w:rFonts w:ascii="Times New Roman CYR" w:hAnsi="Times New Roman CYR" w:cs="Times New Roman CYR"/>
          <w:sz w:val="22"/>
          <w:szCs w:val="22"/>
          <w:lang w:val="ru-RU" w:bidi="ar-SA"/>
        </w:rPr>
        <w:t>: __________</w:t>
      </w:r>
    </w:p>
    <w:p w14:paraId="2F400DBB"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
    <w:p w14:paraId="2F400DBC" w14:textId="77777777"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p>
    <w:p w14:paraId="2F400DBD" w14:textId="77777777" w:rsidR="009E4EA1" w:rsidRPr="0015238A" w:rsidRDefault="009E4EA1" w:rsidP="009E4EA1">
      <w:pPr>
        <w:autoSpaceDE w:val="0"/>
        <w:autoSpaceDN w:val="0"/>
        <w:adjustRightInd w:val="0"/>
        <w:jc w:val="both"/>
        <w:rPr>
          <w:rFonts w:ascii="Times New Roman CYR" w:hAnsi="Times New Roman CYR" w:cs="Times New Roman CYR"/>
          <w:b/>
          <w:color w:val="080000"/>
          <w:sz w:val="22"/>
          <w:szCs w:val="22"/>
          <w:lang w:val="ru-RU" w:bidi="ar-SA"/>
        </w:rPr>
      </w:pPr>
      <w:r w:rsidRPr="0015238A">
        <w:rPr>
          <w:rFonts w:ascii="Times New Roman CYR" w:hAnsi="Times New Roman CYR" w:cs="Times New Roman CYR"/>
          <w:b/>
          <w:sz w:val="22"/>
          <w:szCs w:val="22"/>
          <w:lang w:val="ru-RU" w:bidi="ar-SA"/>
        </w:rPr>
        <w:t>Гарантирующий поставщик:</w:t>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t>Абонент:</w:t>
      </w:r>
    </w:p>
    <w:p w14:paraId="2F400DBE" w14:textId="77777777" w:rsidR="009E4EA1" w:rsidRDefault="009E4EA1" w:rsidP="009E4EA1">
      <w:pPr>
        <w:autoSpaceDE w:val="0"/>
        <w:autoSpaceDN w:val="0"/>
        <w:adjustRightInd w:val="0"/>
        <w:jc w:val="both"/>
        <w:rPr>
          <w:rFonts w:ascii="Times New Roman CYR" w:hAnsi="Times New Roman CYR" w:cs="Times New Roman CYR"/>
          <w:color w:val="080000"/>
          <w:sz w:val="22"/>
          <w:szCs w:val="22"/>
          <w:lang w:val="ru-RU" w:bidi="ar-SA"/>
        </w:rPr>
      </w:pPr>
    </w:p>
    <w:p w14:paraId="2F400DBF" w14:textId="39FB80D4"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2F400DC0" w14:textId="008A06F5" w:rsidR="009E4EA1" w:rsidRDefault="009E4EA1" w:rsidP="009E4EA1">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9E4EA1" w:rsidSect="006F6E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440B6"/>
    <w:rsid w:val="0007403B"/>
    <w:rsid w:val="000B3EBC"/>
    <w:rsid w:val="00133717"/>
    <w:rsid w:val="00152264"/>
    <w:rsid w:val="0015238A"/>
    <w:rsid w:val="0017652F"/>
    <w:rsid w:val="002E1751"/>
    <w:rsid w:val="003026AE"/>
    <w:rsid w:val="003034DB"/>
    <w:rsid w:val="00312B36"/>
    <w:rsid w:val="00336E5E"/>
    <w:rsid w:val="003776CD"/>
    <w:rsid w:val="003A2140"/>
    <w:rsid w:val="003A522E"/>
    <w:rsid w:val="003B4E27"/>
    <w:rsid w:val="00431F83"/>
    <w:rsid w:val="004828D6"/>
    <w:rsid w:val="004A3FFB"/>
    <w:rsid w:val="004E7EC4"/>
    <w:rsid w:val="004F7492"/>
    <w:rsid w:val="005222D4"/>
    <w:rsid w:val="00574F38"/>
    <w:rsid w:val="006658AD"/>
    <w:rsid w:val="006A0C89"/>
    <w:rsid w:val="006B3A03"/>
    <w:rsid w:val="006F6EA6"/>
    <w:rsid w:val="00755278"/>
    <w:rsid w:val="007B2E65"/>
    <w:rsid w:val="007D2A46"/>
    <w:rsid w:val="008036BF"/>
    <w:rsid w:val="00804DEC"/>
    <w:rsid w:val="00843C6E"/>
    <w:rsid w:val="0085089B"/>
    <w:rsid w:val="008515E4"/>
    <w:rsid w:val="0085206A"/>
    <w:rsid w:val="008774C0"/>
    <w:rsid w:val="008B03E9"/>
    <w:rsid w:val="008E61B9"/>
    <w:rsid w:val="008F3F6A"/>
    <w:rsid w:val="0092443E"/>
    <w:rsid w:val="00942356"/>
    <w:rsid w:val="009609AC"/>
    <w:rsid w:val="00961410"/>
    <w:rsid w:val="009739A0"/>
    <w:rsid w:val="00977339"/>
    <w:rsid w:val="009E4EA1"/>
    <w:rsid w:val="00A448C0"/>
    <w:rsid w:val="00A8770B"/>
    <w:rsid w:val="00A93123"/>
    <w:rsid w:val="00AB7BC9"/>
    <w:rsid w:val="00AF30BB"/>
    <w:rsid w:val="00B8254F"/>
    <w:rsid w:val="00BC205D"/>
    <w:rsid w:val="00BE29EF"/>
    <w:rsid w:val="00BF043E"/>
    <w:rsid w:val="00CA4558"/>
    <w:rsid w:val="00CB76BE"/>
    <w:rsid w:val="00D350A6"/>
    <w:rsid w:val="00D81F7B"/>
    <w:rsid w:val="00E25DC0"/>
    <w:rsid w:val="00E66ABA"/>
    <w:rsid w:val="00EB05DE"/>
    <w:rsid w:val="00F613D2"/>
    <w:rsid w:val="00F84299"/>
    <w:rsid w:val="00FA6938"/>
    <w:rsid w:val="00FB0B63"/>
    <w:rsid w:val="00FC6EC2"/>
    <w:rsid w:val="00FC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99C23F8C17B40EC257241A84E9C6D9B17626E0E1108091CAA4D67C7BC7114B5B7073F940B0F0AD75426B81DA17A11EE1090F748022829BF778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W3XH6RW5D23D-19-8070</_dlc_DocId>
    <_dlc_DocIdUrl xmlns="2065c287-4663-49e4-b729-97ac76fe80cb">
      <Url>http://portal.eksbyt.ru/docum/_layouts/DocIdRedir.aspx?ID=W3XH6RW5D23D-19-8070</Url>
      <Description>W3XH6RW5D23D-19-8070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33B84-BD60-4D98-9ED1-A95A3165AF25}">
  <ds:schemaRefs>
    <ds:schemaRef ds:uri="http://schemas.microsoft.com/sharepoint/events"/>
  </ds:schemaRefs>
</ds:datastoreItem>
</file>

<file path=customXml/itemProps2.xml><?xml version="1.0" encoding="utf-8"?>
<ds:datastoreItem xmlns:ds="http://schemas.openxmlformats.org/officeDocument/2006/customXml" ds:itemID="{980A8D45-6FAC-4271-89D7-65158DFCD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0F66C-1740-41E0-B89C-B7C46F7017B0}">
  <ds:schemaRefs>
    <ds:schemaRef ds:uri="http://schemas.microsoft.com/office/2006/metadata/properties"/>
    <ds:schemaRef ds:uri="3c29de05-77c8-4572-8161-a9b895e5d82c"/>
    <ds:schemaRef ds:uri="http://schemas.microsoft.com/office/2006/documentManagement/types"/>
    <ds:schemaRef ds:uri="http://purl.org/dc/terms/"/>
    <ds:schemaRef ds:uri="2065c287-4663-49e4-b729-97ac76fe80c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257D7D-C1A2-4C58-9FD4-45A31451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9987</Words>
  <Characters>56930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Михалькевич Даниил Анатольевич</dc:creator>
  <cp:lastModifiedBy>Сафиулин Николай Юрьевич</cp:lastModifiedBy>
  <cp:revision>2</cp:revision>
  <dcterms:created xsi:type="dcterms:W3CDTF">2024-04-10T09:30:00Z</dcterms:created>
  <dcterms:modified xsi:type="dcterms:W3CDTF">2024-04-10T09:30:00Z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d2c64473-48ae-4f33-9112-f8a57de681bf</vt:lpwstr>
  </property>
</Properties>
</file>