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BEFB2" w14:textId="77777777" w:rsidR="00184BD0" w:rsidRPr="003147A1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bookmarkStart w:id="0" w:name="_GoBack"/>
      <w:bookmarkEnd w:id="0"/>
      <w:r w:rsidRPr="00184BD0">
        <w:rPr>
          <w:rFonts w:ascii="Times New Roman" w:eastAsia="Times New Roman" w:hAnsi="Times New Roman"/>
          <w:lang w:val="ru-RU"/>
        </w:rPr>
        <w:t>Определение объемов электроэнергии, подлежащих оплате в расчетном периоде, осуществляется на основании показаний приборов учета, установленных в отношении энергопринимающих устройств потребителя.</w:t>
      </w:r>
    </w:p>
    <w:p w14:paraId="13DBEFB3" w14:textId="77777777" w:rsidR="00184BD0" w:rsidRPr="003147A1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Однако, в ряде случаев для определения объемов электроэнергии, подлежащих оплате в расчетном периоде, используются расчётные способы. </w:t>
      </w:r>
    </w:p>
    <w:p w14:paraId="13DBEFB4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 </w:t>
      </w:r>
    </w:p>
    <w:p w14:paraId="13DBEFB5" w14:textId="77777777" w:rsidR="00184BD0" w:rsidRDefault="00184BD0" w:rsidP="00184BD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84BD0">
        <w:rPr>
          <w:rFonts w:ascii="Times New Roman" w:eastAsia="Times New Roman" w:hAnsi="Times New Roman"/>
          <w:b/>
          <w:sz w:val="28"/>
          <w:szCs w:val="28"/>
          <w:lang w:val="ru-RU"/>
        </w:rPr>
        <w:t>Юридические лица </w:t>
      </w:r>
    </w:p>
    <w:p w14:paraId="13DBEFB6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13DBEFB7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В соответствии с Основными положениями функционирования розничных рынков электрической энергии, утвержденными постановлением Правительства РФ от 04.05.2012 № 442 (далее – Основные положения), определение объема потребления электрической энергии с применением расчетных способов осуществляется в следующих случаях:</w:t>
      </w:r>
    </w:p>
    <w:p w14:paraId="13DBEFB8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1) в случае непредставления потребителем показаний расчетного прибора учета в установленные сроки (п. 166 Основных положений);</w:t>
      </w:r>
    </w:p>
    <w:p w14:paraId="13DBEFB9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2) в случае неисправности, утраты или истечения срока межповерочного интервала расчетного прибора учета либо его демонтажа в связи с поверкой, ремонтом или заменой (п. 179 Основных положений);</w:t>
      </w:r>
    </w:p>
    <w:p w14:paraId="13DBEFBA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3) в случае 2-кратного недопуска к расчетному прибору учета, установленному в границах энергопринимающих устройств потребителя, для проведения контрольного снятия показаний или проведения проверки приборов учета объем потребления электрической энергии (мощности) и оказанных услуг по передаче электрической энергии начиная с даты, когда произошел факт 2-кратного недопуска, вплоть до даты допуска к расчетному прибору учета (п. 178 Основных положений);</w:t>
      </w:r>
    </w:p>
    <w:p w14:paraId="13DBEFBB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 xml:space="preserve">4) в случае отсутствия прибора учета, если иное не установлено в </w:t>
      </w:r>
      <w:hyperlink r:id="rId11" w:history="1">
        <w:r w:rsidRPr="00184BD0">
          <w:rPr>
            <w:rFonts w:ascii="Times New Roman" w:eastAsia="Times New Roman" w:hAnsi="Times New Roman"/>
            <w:lang w:val="ru-RU"/>
          </w:rPr>
          <w:t>п. 179</w:t>
        </w:r>
      </w:hyperlink>
      <w:r w:rsidRPr="00184BD0">
        <w:rPr>
          <w:rFonts w:ascii="Times New Roman" w:eastAsia="Times New Roman" w:hAnsi="Times New Roman"/>
          <w:lang w:val="ru-RU"/>
        </w:rPr>
        <w:t xml:space="preserve"> Основных положений, вплоть до даты допуска прибора учета в эксплуатацию (п. 181 Основных положений):</w:t>
      </w:r>
    </w:p>
    <w:p w14:paraId="13DBEFBC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5) в случае выявления безучетного и бездоговорного потребления электрической энергии (п. 195, 196 Основных положений).</w:t>
      </w:r>
    </w:p>
    <w:p w14:paraId="13DBEFBD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 xml:space="preserve">При наступлении оснований, указанных в п. 1 и 2 настоящего информационного сообщения, расчет объема потребления электрической энергии осуществляется в следующем порядке: </w:t>
      </w:r>
    </w:p>
    <w:p w14:paraId="13DBEFBE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 xml:space="preserve">- при наличии контрольного прибора учета используются его показания; </w:t>
      </w:r>
    </w:p>
    <w:p w14:paraId="13DBEFBF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- при отсутствии контрольного прибора учета:</w:t>
      </w:r>
    </w:p>
    <w:p w14:paraId="13DBEFC0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для 1-го и 2-го расчетных периодов подряд объем потребления электрической энергии, а для потребителя, в расчетах с которым используется ставка за мощность, - также и почасовые объемы потребления электрической энергии,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14:paraId="13DBEFC1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 xml:space="preserve">для 3-го и последующих расчетных периодов подряд объем потребления электрической энергии определяется расчетным способом в соответствии с </w:t>
      </w:r>
      <w:hyperlink r:id="rId12" w:history="1">
        <w:r w:rsidRPr="00184BD0">
          <w:rPr>
            <w:rFonts w:ascii="Times New Roman" w:eastAsia="Times New Roman" w:hAnsi="Times New Roman"/>
            <w:lang w:val="ru-RU"/>
          </w:rPr>
          <w:t>подпунктом «а» пункта 1</w:t>
        </w:r>
      </w:hyperlink>
      <w:r w:rsidRPr="00184BD0">
        <w:rPr>
          <w:rFonts w:ascii="Times New Roman" w:eastAsia="Times New Roman" w:hAnsi="Times New Roman"/>
          <w:lang w:val="ru-RU"/>
        </w:rPr>
        <w:t xml:space="preserve"> приложения № 3 к Основным положениям, а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в соответствии с </w:t>
      </w:r>
      <w:hyperlink r:id="rId13" w:history="1">
        <w:r w:rsidRPr="00184BD0">
          <w:rPr>
            <w:rFonts w:ascii="Times New Roman" w:eastAsia="Times New Roman" w:hAnsi="Times New Roman"/>
            <w:lang w:val="ru-RU"/>
          </w:rPr>
          <w:t>подпунктом «б» пункта 1</w:t>
        </w:r>
      </w:hyperlink>
      <w:r w:rsidRPr="00184BD0">
        <w:rPr>
          <w:rFonts w:ascii="Times New Roman" w:eastAsia="Times New Roman" w:hAnsi="Times New Roman"/>
          <w:lang w:val="ru-RU"/>
        </w:rPr>
        <w:t xml:space="preserve"> приложения № 3 к Основным положениям.</w:t>
      </w:r>
    </w:p>
    <w:p w14:paraId="13DBEFC2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 xml:space="preserve">При наступлении оснований, указанных в п. 3, 4 и 5 настоящего информационного сообщения, объем потребления электрической энергии определяется расчетным способом в соответствии с </w:t>
      </w:r>
      <w:hyperlink r:id="rId14" w:history="1">
        <w:r w:rsidRPr="00184BD0">
          <w:rPr>
            <w:rFonts w:ascii="Times New Roman" w:eastAsia="Times New Roman" w:hAnsi="Times New Roman"/>
            <w:lang w:val="ru-RU"/>
          </w:rPr>
          <w:t>подпунктом «а» пункта 1</w:t>
        </w:r>
      </w:hyperlink>
      <w:r w:rsidRPr="00184BD0">
        <w:rPr>
          <w:rFonts w:ascii="Times New Roman" w:eastAsia="Times New Roman" w:hAnsi="Times New Roman"/>
          <w:lang w:val="ru-RU"/>
        </w:rPr>
        <w:t xml:space="preserve"> приложения № 3 к Основным положениям, а для потребителя, в расчетах с которым используется ставка за мощность, почасовые объемы потребления электрической энергии определяются расчетным способом в соответствии с </w:t>
      </w:r>
      <w:hyperlink r:id="rId15" w:history="1">
        <w:r w:rsidRPr="00184BD0">
          <w:rPr>
            <w:rFonts w:ascii="Times New Roman" w:eastAsia="Times New Roman" w:hAnsi="Times New Roman"/>
            <w:lang w:val="ru-RU"/>
          </w:rPr>
          <w:t>подпунктом «б» пункта 1</w:t>
        </w:r>
      </w:hyperlink>
      <w:r w:rsidRPr="00184BD0">
        <w:rPr>
          <w:rFonts w:ascii="Times New Roman" w:eastAsia="Times New Roman" w:hAnsi="Times New Roman"/>
          <w:lang w:val="ru-RU"/>
        </w:rPr>
        <w:t xml:space="preserve"> приложения № 3 к Основным положениям.</w:t>
      </w:r>
    </w:p>
    <w:p w14:paraId="13DBEFC3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 </w:t>
      </w:r>
    </w:p>
    <w:sectPr w:rsidR="00184BD0" w:rsidRPr="00184BD0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1042C3"/>
    <w:rsid w:val="00152264"/>
    <w:rsid w:val="00184BD0"/>
    <w:rsid w:val="001D2869"/>
    <w:rsid w:val="0029218E"/>
    <w:rsid w:val="002E1751"/>
    <w:rsid w:val="003034DB"/>
    <w:rsid w:val="00312B36"/>
    <w:rsid w:val="003601B4"/>
    <w:rsid w:val="003776CD"/>
    <w:rsid w:val="003A522E"/>
    <w:rsid w:val="003B42BB"/>
    <w:rsid w:val="00431F83"/>
    <w:rsid w:val="004828D6"/>
    <w:rsid w:val="004A3FFB"/>
    <w:rsid w:val="004F7492"/>
    <w:rsid w:val="00537F71"/>
    <w:rsid w:val="00557CFA"/>
    <w:rsid w:val="005F51B0"/>
    <w:rsid w:val="006006D9"/>
    <w:rsid w:val="00621FDC"/>
    <w:rsid w:val="00633380"/>
    <w:rsid w:val="00745439"/>
    <w:rsid w:val="007D2A46"/>
    <w:rsid w:val="007D7037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14675"/>
    <w:rsid w:val="00B3581F"/>
    <w:rsid w:val="00BD2855"/>
    <w:rsid w:val="00BE29EF"/>
    <w:rsid w:val="00BF043E"/>
    <w:rsid w:val="00C1465F"/>
    <w:rsid w:val="00CA60EA"/>
    <w:rsid w:val="00CB7F96"/>
    <w:rsid w:val="00CE1888"/>
    <w:rsid w:val="00D0252D"/>
    <w:rsid w:val="00D67F59"/>
    <w:rsid w:val="00D97FCE"/>
    <w:rsid w:val="00E66ABA"/>
    <w:rsid w:val="00EC72A4"/>
    <w:rsid w:val="00EE7594"/>
    <w:rsid w:val="00F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E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CE474A0F96E25C43C62218ADF2F29243237C35846128EB4735615EC789710C1989EBA3C35D5A8C9A74908D61C87A08EA90452278F13EC99F274E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CE474A0F96E25C43C62218ADF2F29243237C35846128EB4735615EC789710C1989EBA3C35D5A8D9271908D61C87A08EA90452278F13EC99F274E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EAD4A81A3BA1DA1A3E5ECE117F2033F3AC2A42952993AE33FCEF77FD8384E334DF572AA941F9CBD9D9B5F06A7F7D2B182288BD22E6EBCA53O9y8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CE474A0F96E25C43C62218ADF2F29243237C35846128EB4735615EC789710C1989EBA3C35D5A8C9A74908D61C87A08EA90452278F13EC99F274E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CE474A0F96E25C43C62218ADF2F29243237C35846128EB4735615EC789710C1989EBA3C35D5A8D9271908D61C87A08EA90452278F13EC99F27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W3XH6RW5D23D-19-7574</_dlc_DocId>
    <_dlc_DocIdUrl xmlns="2065c287-4663-49e4-b729-97ac76fe80cb">
      <Url>http://portal.eksbyt.ru/docum/_layouts/DocIdRedir.aspx?ID=W3XH6RW5D23D-19-7574</Url>
      <Description>W3XH6RW5D23D-19-7574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6AB-5FEF-462E-9817-B87CB4834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376D-D657-4424-AB3F-9CAA0B134D69}">
  <ds:schemaRefs>
    <ds:schemaRef ds:uri="http://purl.org/dc/elements/1.1/"/>
    <ds:schemaRef ds:uri="http://purl.org/dc/dcmitype/"/>
    <ds:schemaRef ds:uri="http://schemas.microsoft.com/office/2006/documentManagement/types"/>
    <ds:schemaRef ds:uri="3c29de05-77c8-4572-8161-a9b895e5d82c"/>
    <ds:schemaRef ds:uri="http://schemas.openxmlformats.org/package/2006/metadata/core-properties"/>
    <ds:schemaRef ds:uri="2065c287-4663-49e4-b729-97ac76fe80c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AB4F8-94FC-41B8-A542-767160C2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83D88-4C3D-4D33-B5AC-FEFCFF748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188CDC-BA1F-4EB8-897F-F3E0186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2020-02-19T10:51:00Z</cp:lastPrinted>
  <dcterms:created xsi:type="dcterms:W3CDTF">2020-03-06T07:10:00Z</dcterms:created>
  <dcterms:modified xsi:type="dcterms:W3CDTF">2020-03-06T07:10:00Z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ffd04460-ac2e-43a6-a0f6-ad43ba556a98</vt:lpwstr>
  </property>
</Properties>
</file>