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6E" w:rsidRDefault="007E264A" w:rsidP="001B3FE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 xml:space="preserve">   </w:t>
      </w:r>
      <w:r w:rsidR="0036086E" w:rsidRPr="0036086E">
        <w:rPr>
          <w:rFonts w:ascii="Times New Roman" w:eastAsia="Times New Roman" w:hAnsi="Times New Roman" w:cs="Times New Roman"/>
          <w:sz w:val="20"/>
          <w:szCs w:val="20"/>
          <w:lang w:eastAsia="ru-RU"/>
        </w:rPr>
        <w:t xml:space="preserve">Приложение </w:t>
      </w:r>
      <w:r w:rsidR="0036086E">
        <w:rPr>
          <w:rFonts w:ascii="Times New Roman" w:eastAsia="Times New Roman" w:hAnsi="Times New Roman" w:cs="Times New Roman"/>
          <w:sz w:val="20"/>
          <w:szCs w:val="20"/>
          <w:lang w:eastAsia="ru-RU"/>
        </w:rPr>
        <w:t>3</w:t>
      </w:r>
      <w:r w:rsidR="0036086E" w:rsidRPr="0036086E">
        <w:rPr>
          <w:rFonts w:ascii="Times New Roman" w:eastAsia="Times New Roman" w:hAnsi="Times New Roman" w:cs="Times New Roman"/>
          <w:sz w:val="20"/>
          <w:szCs w:val="20"/>
          <w:lang w:eastAsia="ru-RU"/>
        </w:rPr>
        <w:t xml:space="preserve"> к Техническому заданию </w:t>
      </w:r>
      <w:r w:rsidR="001B3FEA" w:rsidRPr="001B3FEA">
        <w:rPr>
          <w:rFonts w:ascii="Times New Roman" w:eastAsia="Times New Roman" w:hAnsi="Times New Roman" w:cs="Times New Roman"/>
          <w:sz w:val="20"/>
          <w:szCs w:val="20"/>
          <w:lang w:eastAsia="ru-RU"/>
        </w:rPr>
        <w:t>на право заключения договора на поставку компьютерной и печатной техники для  обеспечения нужд ОАО «</w:t>
      </w:r>
      <w:proofErr w:type="spellStart"/>
      <w:r w:rsidR="001B3FEA" w:rsidRPr="001B3FEA">
        <w:rPr>
          <w:rFonts w:ascii="Times New Roman" w:eastAsia="Times New Roman" w:hAnsi="Times New Roman" w:cs="Times New Roman"/>
          <w:sz w:val="20"/>
          <w:szCs w:val="20"/>
          <w:lang w:eastAsia="ru-RU"/>
        </w:rPr>
        <w:t>ЕЭнС</w:t>
      </w:r>
      <w:proofErr w:type="spellEnd"/>
      <w:r w:rsidR="001B3FEA" w:rsidRPr="001B3FEA">
        <w:rPr>
          <w:rFonts w:ascii="Times New Roman" w:eastAsia="Times New Roman" w:hAnsi="Times New Roman" w:cs="Times New Roman"/>
          <w:sz w:val="20"/>
          <w:szCs w:val="20"/>
          <w:lang w:eastAsia="ru-RU"/>
        </w:rPr>
        <w:t>» в IV квартале 2015 г.</w:t>
      </w:r>
    </w:p>
    <w:p w:rsidR="0036086E" w:rsidRPr="007E264A" w:rsidRDefault="0036086E" w:rsidP="003608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rsidR="007E264A" w:rsidRPr="007E264A" w:rsidRDefault="007E264A" w:rsidP="007E264A">
      <w:pPr>
        <w:tabs>
          <w:tab w:val="left" w:pos="0"/>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г. Екатеринбург.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7E264A"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sz w:val="21"/>
          <w:szCs w:val="21"/>
          <w:lang w:eastAsia="ru-RU"/>
        </w:rPr>
        <w:t>Открытое акционерное общество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 (</w:t>
      </w:r>
      <w:r w:rsidRPr="007E264A">
        <w:rPr>
          <w:rFonts w:ascii="Times New Roman" w:eastAsia="Times New Roman" w:hAnsi="Times New Roman" w:cs="Times New Roman"/>
          <w:b/>
          <w:bCs/>
          <w:sz w:val="21"/>
          <w:szCs w:val="21"/>
          <w:lang w:eastAsia="ru-RU"/>
        </w:rPr>
        <w:t>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sz w:val="21"/>
          <w:szCs w:val="21"/>
          <w:lang w:eastAsia="ru-RU"/>
        </w:rPr>
        <w:t xml:space="preserve">, в лице ___________________________________________________________, действующего на основании  _________________________, с одной стороны, и ________________________________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открытого запроса цен от ___.___.2015 г. № ________,заключили настоящий Договор о нижеследующем </w:t>
      </w:r>
      <w:r w:rsidRPr="007E264A">
        <w:rPr>
          <w:rFonts w:ascii="Times New Roman" w:eastAsia="Times New Roman" w:hAnsi="Times New Roman" w:cs="Times New Roman"/>
          <w:sz w:val="21"/>
          <w:szCs w:val="21"/>
          <w:lang w:eastAsia="ru-RU"/>
        </w:rPr>
        <w:t>заключили настоящий договор о нижеследующем:</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Досрочная поставка продукции допускается только по письменному согласованию сторон.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3. Ответственность сторон</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lastRenderedPageBreak/>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spacing w:after="12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5. Особые условия</w:t>
      </w:r>
    </w:p>
    <w:p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 xml:space="preserve">В случае неисполнения Поставщиком обязанностей, установленных </w:t>
      </w:r>
      <w:proofErr w:type="spellStart"/>
      <w:r w:rsidRPr="007E264A">
        <w:rPr>
          <w:rFonts w:ascii="Times New Roman" w:eastAsia="Times New Roman" w:hAnsi="Times New Roman" w:cs="Times New Roman"/>
          <w:sz w:val="21"/>
          <w:szCs w:val="21"/>
          <w:lang w:eastAsia="ru-RU"/>
        </w:rPr>
        <w:t>п.п</w:t>
      </w:r>
      <w:proofErr w:type="spellEnd"/>
      <w:r w:rsidRPr="007E264A">
        <w:rPr>
          <w:rFonts w:ascii="Times New Roman" w:eastAsia="Times New Roman" w:hAnsi="Times New Roman" w:cs="Times New Roman"/>
          <w:sz w:val="21"/>
          <w:szCs w:val="21"/>
          <w:lang w:eastAsia="ru-RU"/>
        </w:rPr>
        <w:t>. 5.1. настоящего договора, Покупатель вправе в одностороннем порядке отказаться от исполнения настоящего договора.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5.3. </w:t>
      </w:r>
      <w:r w:rsidRPr="007E264A">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7E264A">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5.4.</w:t>
      </w:r>
      <w:r w:rsidRPr="007E264A">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5.5.</w:t>
      </w:r>
      <w:r w:rsidRPr="007E264A">
        <w:rPr>
          <w:rFonts w:ascii="Times New Roman" w:eastAsia="Times New Roman" w:hAnsi="Times New Roman" w:cs="Times New Roman"/>
          <w:sz w:val="21"/>
          <w:szCs w:val="21"/>
          <w:lang w:eastAsia="ru-RU"/>
        </w:rPr>
        <w:tab/>
        <w:t>Единая вертикально-интегрированная система в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ДХО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по профилактике коррупционных и иных правонарушений отражена в Едином стратегическом документе - Антикоррупционной политике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ДЗО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(далее - Антикоррупционная политика).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5.6.</w:t>
      </w:r>
      <w:r w:rsidRPr="007E264A">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поддерживают Антикоррупционную политику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xml:space="preserve">» и ДХО </w:t>
      </w:r>
      <w:r w:rsidRPr="007E264A">
        <w:rPr>
          <w:rFonts w:ascii="Times New Roman" w:eastAsia="Times New Roman" w:hAnsi="Times New Roman" w:cs="Times New Roman"/>
          <w:sz w:val="21"/>
          <w:szCs w:val="21"/>
          <w:lang w:eastAsia="ru-RU"/>
        </w:rPr>
        <w:br/>
        <w:t>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r>
      <w:r w:rsidRPr="007E264A">
        <w:rPr>
          <w:rFonts w:ascii="Times New Roman" w:eastAsia="Times New Roman" w:hAnsi="Times New Roman" w:cs="Times New Roman"/>
          <w:sz w:val="21"/>
          <w:szCs w:val="21"/>
          <w:lang w:eastAsia="ru-RU"/>
        </w:rPr>
        <w:tab/>
        <w:t>ведут деловые отношения в добросовестной и честной манере;</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заботятся о собственной репутации;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демонстрируют поддержку высоким этическим стандартам;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реализуют собственные меры по противодействию коррупции;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участвуют в коллективных антикоррупционных инициативах.</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5.7. </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Pr="007E264A">
        <w:rPr>
          <w:rFonts w:ascii="Times New Roman" w:eastAsia="Times New Roman" w:hAnsi="Times New Roman" w:cs="Times New Roman"/>
          <w:sz w:val="21"/>
          <w:szCs w:val="21"/>
          <w:lang w:eastAsia="ru-RU"/>
        </w:rPr>
        <w:t>Екатеринбургэнергосбыт</w:t>
      </w:r>
      <w:proofErr w:type="spellEnd"/>
      <w:r w:rsidRPr="007E264A">
        <w:rPr>
          <w:rFonts w:ascii="Times New Roman" w:eastAsia="Times New Roman" w:hAnsi="Times New Roman" w:cs="Times New Roman"/>
          <w:sz w:val="21"/>
          <w:szCs w:val="21"/>
          <w:lang w:eastAsia="ru-RU"/>
        </w:rPr>
        <w:t xml:space="preserve">» по адресу: </w:t>
      </w:r>
      <w:hyperlink r:id="rId8" w:history="1">
        <w:r w:rsidRPr="007E264A">
          <w:rPr>
            <w:rFonts w:ascii="Times New Roman" w:eastAsia="Times New Roman" w:hAnsi="Times New Roman" w:cs="Times New Roman"/>
            <w:sz w:val="21"/>
            <w:szCs w:val="21"/>
            <w:lang w:eastAsia="ru-RU"/>
          </w:rPr>
          <w:t>http://www.eens.ru/o_kompanii/dokumenty/</w:t>
        </w:r>
      </w:hyperlink>
      <w:r w:rsidRPr="007E264A">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7E264A">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5.8.</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5.9.</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7E264A">
        <w:rPr>
          <w:rFonts w:ascii="Times New Roman" w:eastAsia="Times New Roman" w:hAnsi="Times New Roman" w:cs="Times New Roman"/>
          <w:sz w:val="21"/>
          <w:szCs w:val="21"/>
          <w:lang w:eastAsia="ru-RU"/>
        </w:rPr>
        <w:t>.</w:t>
      </w:r>
      <w:proofErr w:type="gramStart"/>
      <w:r w:rsidRPr="007E264A">
        <w:rPr>
          <w:rFonts w:ascii="Times New Roman" w:eastAsia="Times New Roman" w:hAnsi="Times New Roman" w:cs="Times New Roman"/>
          <w:sz w:val="21"/>
          <w:szCs w:val="21"/>
          <w:lang w:eastAsia="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7E264A">
        <w:rPr>
          <w:rFonts w:ascii="Times New Roman" w:eastAsia="Times New Roman" w:hAnsi="Times New Roman" w:cs="Times New Roman"/>
          <w:sz w:val="21"/>
          <w:szCs w:val="21"/>
          <w:lang w:eastAsia="ru-RU"/>
        </w:rPr>
        <w:t>КоАКП</w:t>
      </w:r>
      <w:proofErr w:type="spellEnd"/>
      <w:r w:rsidRPr="007E264A">
        <w:rPr>
          <w:rFonts w:ascii="Times New Roman" w:eastAsia="Times New Roman" w:hAnsi="Times New Roman" w:cs="Times New Roman"/>
          <w:sz w:val="21"/>
          <w:szCs w:val="21"/>
          <w:lang w:eastAsia="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5.10.</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5.11.</w:t>
      </w:r>
      <w:r w:rsidRPr="007E264A">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каких-либо гарантий;</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ускорение существующих процедур;</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5.12.</w:t>
      </w:r>
      <w:r w:rsidRPr="007E264A">
        <w:rPr>
          <w:rFonts w:ascii="Times New Roman" w:eastAsia="Times New Roman" w:hAnsi="Times New Roman" w:cs="Times New Roman"/>
          <w:sz w:val="21"/>
          <w:szCs w:val="21"/>
          <w:lang w:eastAsia="ru-RU"/>
        </w:rPr>
        <w:tab/>
        <w:t xml:space="preserve">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E264A">
        <w:rPr>
          <w:rFonts w:ascii="Times New Roman" w:eastAsia="Times New Roman" w:hAnsi="Times New Roman" w:cs="Times New Roman"/>
          <w:sz w:val="21"/>
          <w:szCs w:val="21"/>
          <w:lang w:eastAsia="ru-RU"/>
        </w:rPr>
        <w:t>с даты направления</w:t>
      </w:r>
      <w:proofErr w:type="gramEnd"/>
      <w:r w:rsidRPr="007E264A">
        <w:rPr>
          <w:rFonts w:ascii="Times New Roman" w:eastAsia="Times New Roman" w:hAnsi="Times New Roman" w:cs="Times New Roman"/>
          <w:sz w:val="21"/>
          <w:szCs w:val="21"/>
          <w:lang w:eastAsia="ru-RU"/>
        </w:rPr>
        <w:t xml:space="preserve"> письменного уведомления.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5.13.</w:t>
      </w:r>
      <w:r w:rsidRPr="007E264A">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5.14.</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7E264A">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5.15.</w:t>
      </w:r>
      <w:r w:rsidRPr="007E264A">
        <w:rPr>
          <w:rFonts w:ascii="Times New Roman" w:eastAsia="Times New Roman" w:hAnsi="Times New Roman" w:cs="Times New Roman"/>
          <w:sz w:val="21"/>
          <w:szCs w:val="21"/>
          <w:lang w:eastAsia="ru-RU"/>
        </w:rPr>
        <w:tab/>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E264A" w:rsidRPr="007E264A" w:rsidRDefault="007E264A" w:rsidP="007E264A">
      <w:pPr>
        <w:spacing w:after="0" w:line="240" w:lineRule="auto"/>
        <w:jc w:val="both"/>
        <w:rPr>
          <w:rFonts w:ascii="Times New Roman" w:eastAsia="Times New Roman" w:hAnsi="Times New Roman" w:cs="Times New Roman"/>
          <w:bCs/>
          <w:sz w:val="21"/>
          <w:szCs w:val="21"/>
        </w:rPr>
      </w:pPr>
    </w:p>
    <w:p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7E264A" w:rsidRDefault="007E264A" w:rsidP="007E264A">
      <w:pPr>
        <w:spacing w:after="0" w:line="240" w:lineRule="auto"/>
        <w:jc w:val="both"/>
        <w:rPr>
          <w:rFonts w:ascii="Times New Roman" w:eastAsia="Calibri" w:hAnsi="Times New Roman" w:cs="Times New Roman"/>
          <w:sz w:val="21"/>
          <w:szCs w:val="21"/>
          <w:u w:val="single"/>
        </w:rPr>
      </w:pPr>
    </w:p>
    <w:p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7.</w:t>
      </w:r>
      <w:r w:rsidRPr="007E264A">
        <w:rPr>
          <w:rFonts w:ascii="Times New Roman" w:eastAsia="Times New Roman" w:hAnsi="Times New Roman" w:cs="Times New Roman"/>
          <w:b/>
          <w:color w:val="000000"/>
          <w:sz w:val="21"/>
          <w:szCs w:val="21"/>
          <w:lang w:eastAsia="ru-RU"/>
        </w:rPr>
        <w:tab/>
        <w:t xml:space="preserve"> Прочие условия.</w:t>
      </w:r>
    </w:p>
    <w:p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lastRenderedPageBreak/>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____________________/С.Е. Попов/</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5116EA">
          <w:headerReference w:type="even" r:id="rId9"/>
          <w:headerReference w:type="default" r:id="rId10"/>
          <w:footerReference w:type="even" r:id="rId11"/>
          <w:footerReference w:type="default" r:id="rId12"/>
          <w:pgSz w:w="11907" w:h="16840" w:code="9"/>
          <w:pgMar w:top="568" w:right="567" w:bottom="709" w:left="1080" w:header="284" w:footer="310" w:gutter="0"/>
          <w:cols w:space="720"/>
          <w:titlePg/>
          <w:docGrid w:linePitch="272"/>
        </w:sectPr>
      </w:pPr>
      <w:r w:rsidRPr="007E264A">
        <w:rPr>
          <w:rFonts w:ascii="Times New Roman" w:eastAsia="Times New Roman" w:hAnsi="Times New Roman" w:cs="Times New Roman"/>
          <w:bCs/>
          <w:sz w:val="21"/>
          <w:szCs w:val="21"/>
          <w:lang w:eastAsia="ru-RU"/>
        </w:rPr>
        <w:t xml:space="preserve">                                                                                                                                               </w:t>
      </w:r>
    </w:p>
    <w:p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7E264A"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bCs/>
          <w:sz w:val="21"/>
          <w:szCs w:val="21"/>
          <w:lang w:eastAsia="ru-RU"/>
        </w:rPr>
        <w:t>Открытое акционерное общество «</w:t>
      </w:r>
      <w:proofErr w:type="spellStart"/>
      <w:r w:rsidRPr="007E264A">
        <w:rPr>
          <w:rFonts w:ascii="Times New Roman" w:eastAsia="Times New Roman" w:hAnsi="Times New Roman" w:cs="Times New Roman"/>
          <w:b/>
          <w:bCs/>
          <w:sz w:val="21"/>
          <w:szCs w:val="21"/>
          <w:lang w:eastAsia="ru-RU"/>
        </w:rPr>
        <w:t>Екатеринбургэнергосбыт</w:t>
      </w:r>
      <w:proofErr w:type="spellEnd"/>
      <w:r w:rsidRPr="007E264A">
        <w:rPr>
          <w:rFonts w:ascii="Times New Roman" w:eastAsia="Times New Roman" w:hAnsi="Times New Roman" w:cs="Times New Roman"/>
          <w:b/>
          <w:bCs/>
          <w:sz w:val="21"/>
          <w:szCs w:val="21"/>
          <w:lang w:eastAsia="ru-RU"/>
        </w:rPr>
        <w:t>» (ОАО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b/>
          <w:sz w:val="21"/>
          <w:szCs w:val="21"/>
          <w:lang w:eastAsia="ru-RU"/>
        </w:rPr>
        <w:t>,</w:t>
      </w:r>
      <w:r w:rsidRPr="007E264A">
        <w:rPr>
          <w:rFonts w:ascii="Times New Roman" w:eastAsia="Times New Roman" w:hAnsi="Times New Roman" w:cs="Times New Roman"/>
          <w:sz w:val="21"/>
          <w:szCs w:val="21"/>
          <w:lang w:eastAsia="ru-RU"/>
        </w:rPr>
        <w:t xml:space="preserve"> в лице  ______________________________________________________, действующего на основании ____________________, с одной стороны, и   </w:t>
      </w:r>
      <w:r w:rsidRPr="007E264A">
        <w:rPr>
          <w:rFonts w:ascii="Times New Roman" w:eastAsia="Times New Roman" w:hAnsi="Times New Roman" w:cs="Times New Roman"/>
          <w:b/>
          <w:sz w:val="21"/>
          <w:szCs w:val="21"/>
          <w:lang w:eastAsia="ru-RU"/>
        </w:rPr>
        <w:t>__________________,</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Pr="007E264A">
        <w:rPr>
          <w:rFonts w:ascii="Times New Roman" w:eastAsia="Times New Roman" w:hAnsi="Times New Roman" w:cs="Times New Roman"/>
          <w:bCs/>
          <w:sz w:val="21"/>
          <w:szCs w:val="21"/>
          <w:lang w:eastAsia="ru-RU"/>
        </w:rPr>
        <w:t>подписали настоящее приложение</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 1 </w:t>
      </w:r>
      <w:r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Источник финансирования - ______________.</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1134"/>
        <w:gridCol w:w="1559"/>
        <w:gridCol w:w="1701"/>
        <w:gridCol w:w="567"/>
        <w:gridCol w:w="1113"/>
        <w:gridCol w:w="2147"/>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7"/>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Закупка № ___ лот №___   Поставка _______*</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1(2,3,4) квартала (полугодия) 201__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1(2,3,4) квартала (полугодия) 201__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val="en-US"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 xml:space="preserve">Всего стоимость продукции по настоящему договору:_____________________________________________________________руб._______ коп. (_________________________________________________________рублей______  коп.)  в </w:t>
      </w:r>
      <w:proofErr w:type="spellStart"/>
      <w:r w:rsidRPr="007E264A">
        <w:rPr>
          <w:rFonts w:ascii="Times New Roman" w:eastAsia="Times New Roman" w:hAnsi="Times New Roman" w:cs="Times New Roman"/>
          <w:b/>
          <w:bCs/>
          <w:sz w:val="21"/>
          <w:szCs w:val="21"/>
          <w:lang w:eastAsia="ru-RU"/>
        </w:rPr>
        <w:t>т.ч</w:t>
      </w:r>
      <w:proofErr w:type="spellEnd"/>
      <w:r w:rsidRPr="007E264A">
        <w:rPr>
          <w:rFonts w:ascii="Times New Roman" w:eastAsia="Times New Roman" w:hAnsi="Times New Roman" w:cs="Times New Roman"/>
          <w:b/>
          <w:bCs/>
          <w:sz w:val="21"/>
          <w:szCs w:val="21"/>
          <w:lang w:eastAsia="ru-RU"/>
        </w:rPr>
        <w:t>.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lastRenderedPageBreak/>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7E264A">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color w:val="7030A0"/>
          <w:sz w:val="21"/>
          <w:szCs w:val="21"/>
          <w:lang w:eastAsia="ru-RU"/>
        </w:rPr>
        <w:t xml:space="preserve"> </w:t>
      </w:r>
      <w:bookmarkStart w:id="0" w:name="OLE_LINK3"/>
      <w:bookmarkStart w:id="1" w:name="OLE_LINK4"/>
      <w:r w:rsidRPr="007E264A">
        <w:rPr>
          <w:rFonts w:ascii="Times New Roman" w:eastAsia="Times New Roman" w:hAnsi="Times New Roman" w:cs="Times New Roman"/>
          <w:bCs/>
          <w:color w:val="7030A0"/>
          <w:sz w:val="21"/>
          <w:szCs w:val="21"/>
          <w:lang w:eastAsia="ru-RU"/>
        </w:rPr>
        <w:t xml:space="preserve">   О</w:t>
      </w:r>
      <w:r w:rsidRPr="007E264A">
        <w:rPr>
          <w:rFonts w:ascii="Times New Roman" w:eastAsia="Times New Roman" w:hAnsi="Times New Roman" w:cs="Times New Roman"/>
          <w:bCs/>
          <w:sz w:val="21"/>
          <w:szCs w:val="21"/>
          <w:lang w:eastAsia="ru-RU"/>
        </w:rPr>
        <w:t>плата полученной продукции производится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
    <w:p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0"/>
    <w:bookmarkEnd w:id="1"/>
    <w:p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bookmarkStart w:id="2" w:name="_GoBack"/>
      <w:bookmarkEnd w:id="2"/>
    </w:p>
    <w:p w:rsidR="007E264A" w:rsidRPr="007E264A" w:rsidRDefault="007E264A" w:rsidP="007E264A">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Поставка продукции осуществляется 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w:t>
      </w:r>
      <w:proofErr w:type="gramStart"/>
      <w:r w:rsidRPr="007E264A">
        <w:rPr>
          <w:rFonts w:ascii="Times New Roman" w:eastAsia="Times New Roman" w:hAnsi="Times New Roman" w:cs="Times New Roman"/>
          <w:sz w:val="21"/>
          <w:szCs w:val="21"/>
          <w:lang w:eastAsia="ru-RU"/>
        </w:rPr>
        <w:t>у(</w:t>
      </w:r>
      <w:proofErr w:type="spellStart"/>
      <w:proofErr w:type="gramEnd"/>
      <w:r w:rsidRPr="007E264A">
        <w:rPr>
          <w:rFonts w:ascii="Times New Roman" w:eastAsia="Times New Roman" w:hAnsi="Times New Roman" w:cs="Times New Roman"/>
          <w:sz w:val="21"/>
          <w:szCs w:val="21"/>
          <w:lang w:eastAsia="ru-RU"/>
        </w:rPr>
        <w:t>ам</w:t>
      </w:r>
      <w:proofErr w:type="spellEnd"/>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i/>
          <w:sz w:val="21"/>
          <w:szCs w:val="21"/>
          <w:lang w:eastAsia="ru-RU"/>
        </w:rPr>
        <w:t>(выбрать необходимый)</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4.2. Поставка продукции осуществляется в течение ___  календарных дней  с момента заключения настоящего договора, но не позднее _______________201___ г.</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Если разбивка по кварталам/полугодиям то звучит так:</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Поставка продукции осуществляется отдельными партиями в период с __.__.201_ года по __.__.201__  года в объеме 1-го квартала 201__ года, в период с __.__.201__ года по __.__.201__ года в объеме 2-го квартала 201__ года, в период с __.__.201__ года  по __.__.201__ года в объеме 3-го квартала 201__ года, в период с __.__.201__ года по __.__.201__  года в объеме 4-го квартала 201</w:t>
      </w:r>
      <w:proofErr w:type="gramEnd"/>
      <w:r w:rsidRPr="007E264A">
        <w:rPr>
          <w:rFonts w:ascii="Times New Roman" w:eastAsia="Times New Roman" w:hAnsi="Times New Roman" w:cs="Times New Roman"/>
          <w:sz w:val="21"/>
          <w:szCs w:val="21"/>
          <w:lang w:eastAsia="ru-RU"/>
        </w:rPr>
        <w:t>__ года.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4.3.  Поставка продукции осуществляется в следующем порядке:</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При условии выборки продукции частями в течение всего срока действия договора:</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rsidR="007E264A" w:rsidRPr="007E264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и </w:t>
      </w:r>
      <w:proofErr w:type="gramStart"/>
      <w:r w:rsidRPr="007E264A">
        <w:rPr>
          <w:rFonts w:ascii="Times New Roman" w:eastAsia="Times New Roman" w:hAnsi="Times New Roman" w:cs="Times New Roman"/>
          <w:sz w:val="21"/>
          <w:szCs w:val="21"/>
          <w:lang w:eastAsia="ru-RU"/>
        </w:rPr>
        <w:t>который</w:t>
      </w:r>
      <w:proofErr w:type="gramEnd"/>
      <w:r w:rsidRPr="007E264A">
        <w:rPr>
          <w:rFonts w:ascii="Times New Roman" w:eastAsia="Times New Roman" w:hAnsi="Times New Roman" w:cs="Times New Roman"/>
          <w:sz w:val="21"/>
          <w:szCs w:val="21"/>
          <w:lang w:eastAsia="ru-RU"/>
        </w:rPr>
        <w:t xml:space="preserve">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w:t>
      </w:r>
      <w:proofErr w:type="gramStart"/>
      <w:r w:rsidRPr="007E264A">
        <w:rPr>
          <w:rFonts w:ascii="Times New Roman" w:eastAsia="Times New Roman" w:hAnsi="Times New Roman" w:cs="Times New Roman"/>
          <w:sz w:val="21"/>
          <w:szCs w:val="21"/>
          <w:lang w:eastAsia="ru-RU"/>
        </w:rPr>
        <w:t>случаях</w:t>
      </w:r>
      <w:proofErr w:type="gramEnd"/>
      <w:r w:rsidRPr="007E264A">
        <w:rPr>
          <w:rFonts w:ascii="Times New Roman" w:eastAsia="Times New Roman" w:hAnsi="Times New Roman" w:cs="Times New Roman"/>
          <w:sz w:val="21"/>
          <w:szCs w:val="21"/>
          <w:lang w:eastAsia="ru-RU"/>
        </w:rPr>
        <w:t>,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с даты поступления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w:t>
      </w:r>
      <w:r w:rsidRPr="007E264A">
        <w:rPr>
          <w:rFonts w:ascii="Times New Roman" w:eastAsia="Times New Roman" w:hAnsi="Times New Roman" w:cs="Times New Roman"/>
          <w:sz w:val="21"/>
          <w:szCs w:val="21"/>
          <w:lang w:eastAsia="ru-RU"/>
        </w:rPr>
        <w:lastRenderedPageBreak/>
        <w:t>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_______________________________________________________.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proofErr w:type="gramStart"/>
      <w:r w:rsidRPr="007E264A">
        <w:rPr>
          <w:rFonts w:ascii="Times New Roman" w:eastAsia="Times New Roman" w:hAnsi="Times New Roman" w:cs="Times New Roman"/>
          <w:b/>
          <w:sz w:val="21"/>
          <w:szCs w:val="21"/>
          <w:lang w:eastAsia="ru-RU"/>
        </w:rPr>
        <w:t>Контактный</w:t>
      </w:r>
      <w:proofErr w:type="gramEnd"/>
      <w:r w:rsidRPr="007E264A">
        <w:rPr>
          <w:rFonts w:ascii="Times New Roman" w:eastAsia="Times New Roman" w:hAnsi="Times New Roman" w:cs="Times New Roman"/>
          <w:b/>
          <w:sz w:val="21"/>
          <w:szCs w:val="21"/>
          <w:lang w:eastAsia="ru-RU"/>
        </w:rPr>
        <w:t xml:space="preserve"> тел.: (___) _________________, e-</w:t>
      </w:r>
      <w:proofErr w:type="spellStart"/>
      <w:r w:rsidRPr="007E264A">
        <w:rPr>
          <w:rFonts w:ascii="Times New Roman" w:eastAsia="Times New Roman" w:hAnsi="Times New Roman" w:cs="Times New Roman"/>
          <w:b/>
          <w:sz w:val="21"/>
          <w:szCs w:val="21"/>
          <w:lang w:eastAsia="ru-RU"/>
        </w:rPr>
        <w:t>mail</w:t>
      </w:r>
      <w:proofErr w:type="spellEnd"/>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bCs/>
          <w:sz w:val="21"/>
          <w:szCs w:val="21"/>
          <w:lang w:eastAsia="ru-RU"/>
        </w:rPr>
        <w:t>_________.</w:t>
      </w:r>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7E264A">
              <w:rPr>
                <w:rFonts w:ascii="Times New Roman" w:eastAsia="Times New Roman" w:hAnsi="Times New Roman" w:cs="Times New Roman"/>
                <w:sz w:val="20"/>
                <w:szCs w:val="20"/>
                <w:lang w:eastAsia="ru-RU"/>
              </w:rPr>
              <w:t>Справочно</w:t>
            </w:r>
            <w:proofErr w:type="spellEnd"/>
            <w:r w:rsidRPr="007E264A">
              <w:rPr>
                <w:rFonts w:ascii="Times New Roman" w:eastAsia="Times New Roman" w:hAnsi="Times New Roman" w:cs="Times New Roman"/>
                <w:sz w:val="20"/>
                <w:szCs w:val="20"/>
                <w:lang w:eastAsia="ru-RU"/>
              </w:rPr>
              <w:t>:</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3"/>
          <w:headerReference w:type="default" r:id="rId14"/>
          <w:footerReference w:type="even" r:id="rId15"/>
          <w:footerReference w:type="default" r:id="rId16"/>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w:t>
            </w:r>
            <w:proofErr w:type="spellStart"/>
            <w:r w:rsidRPr="007E264A">
              <w:rPr>
                <w:rFonts w:ascii="Times New Roman" w:eastAsia="Calibri" w:hAnsi="Times New Roman" w:cs="Times New Roman"/>
                <w:b/>
                <w:sz w:val="20"/>
                <w:szCs w:val="20"/>
                <w:lang w:eastAsia="ru-RU"/>
              </w:rPr>
              <w:t>Екатеринбургэнергосбыт</w:t>
            </w:r>
            <w:proofErr w:type="spellEnd"/>
            <w:r w:rsidRPr="007E264A">
              <w:rPr>
                <w:rFonts w:ascii="Times New Roman" w:eastAsia="Calibri" w:hAnsi="Times New Roman" w:cs="Times New Roman"/>
                <w:b/>
                <w:sz w:val="20"/>
                <w:szCs w:val="20"/>
                <w:lang w:eastAsia="ru-RU"/>
              </w:rPr>
              <w:t>»,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и Публичным акционерным обществом «</w:t>
            </w:r>
            <w:proofErr w:type="spellStart"/>
            <w:r w:rsidRPr="007E264A">
              <w:rPr>
                <w:rFonts w:ascii="Times New Roman" w:eastAsia="Times New Roman" w:hAnsi="Times New Roman" w:cs="Times New Roman"/>
                <w:b/>
                <w:sz w:val="20"/>
                <w:szCs w:val="20"/>
                <w:lang w:eastAsia="ru-RU"/>
              </w:rPr>
              <w:t>Россети</w:t>
            </w:r>
            <w:proofErr w:type="spellEnd"/>
            <w:r w:rsidRPr="007E264A">
              <w:rPr>
                <w:rFonts w:ascii="Times New Roman" w:eastAsia="Times New Roman" w:hAnsi="Times New Roman" w:cs="Times New Roman"/>
                <w:b/>
                <w:sz w:val="20"/>
                <w:szCs w:val="20"/>
                <w:lang w:eastAsia="ru-RU"/>
              </w:rPr>
              <w:t xml:space="preserve">»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7E264A">
              <w:rPr>
                <w:rFonts w:ascii="Times New Roman" w:eastAsia="Times New Roman" w:hAnsi="Times New Roman" w:cs="Times New Roman"/>
                <w:sz w:val="20"/>
                <w:szCs w:val="20"/>
                <w:lang w:eastAsia="ru-RU"/>
              </w:rPr>
              <w:t>субконтрагентов</w:t>
            </w:r>
            <w:proofErr w:type="spellEnd"/>
            <w:r w:rsidRPr="007E264A">
              <w:rPr>
                <w:rFonts w:ascii="Times New Roman" w:eastAsia="Times New Roman" w:hAnsi="Times New Roman" w:cs="Times New Roman"/>
                <w:sz w:val="20"/>
                <w:szCs w:val="20"/>
                <w:lang w:eastAsia="ru-RU"/>
              </w:rPr>
              <w:t xml:space="preserve">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(участников, учредителей, акционеров) ОАО «</w:t>
            </w:r>
            <w:proofErr w:type="spellStart"/>
            <w:r w:rsidRPr="007E264A">
              <w:rPr>
                <w:rFonts w:ascii="Times New Roman" w:eastAsia="Times New Roman" w:hAnsi="Times New Roman" w:cs="Times New Roman"/>
                <w:sz w:val="20"/>
                <w:szCs w:val="20"/>
                <w:lang w:eastAsia="ru-RU"/>
              </w:rPr>
              <w:t>Россети</w:t>
            </w:r>
            <w:proofErr w:type="spellEnd"/>
            <w:r w:rsidRPr="007E264A">
              <w:rPr>
                <w:rFonts w:ascii="Times New Roman" w:eastAsia="Times New Roman" w:hAnsi="Times New Roman" w:cs="Times New Roman"/>
                <w:sz w:val="20"/>
                <w:szCs w:val="20"/>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E264A">
              <w:rPr>
                <w:rFonts w:ascii="Times New Roman" w:eastAsia="Times New Roman" w:hAnsi="Times New Roman" w:cs="Times New Roman"/>
                <w:sz w:val="20"/>
                <w:szCs w:val="20"/>
                <w:lang w:eastAsia="ru-RU"/>
              </w:rPr>
              <w:t>Росфинмониторинг</w:t>
            </w:r>
            <w:proofErr w:type="spellEnd"/>
            <w:r w:rsidRPr="007E264A">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w:t>
            </w:r>
            <w:proofErr w:type="spellStart"/>
            <w:r w:rsidRPr="007E264A">
              <w:rPr>
                <w:rFonts w:ascii="Times New Roman" w:eastAsia="Times New Roman" w:hAnsi="Times New Roman" w:cs="Times New Roman"/>
                <w:sz w:val="16"/>
                <w:szCs w:val="16"/>
                <w:lang w:eastAsia="ru-RU"/>
              </w:rPr>
              <w:t>субконтрагента</w:t>
            </w:r>
            <w:proofErr w:type="spellEnd"/>
            <w:r w:rsidRPr="007E264A">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7"/>
      <w:headerReference w:type="default" r:id="rId18"/>
      <w:footerReference w:type="even" r:id="rId19"/>
      <w:footerReference w:type="default" r:id="rId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C0" w:rsidRDefault="00D229C0" w:rsidP="007E264A">
      <w:pPr>
        <w:spacing w:after="0" w:line="240" w:lineRule="auto"/>
      </w:pPr>
      <w:r>
        <w:separator/>
      </w:r>
    </w:p>
  </w:endnote>
  <w:endnote w:type="continuationSeparator" w:id="0">
    <w:p w:rsidR="00D229C0" w:rsidRDefault="00D229C0"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Покупатель_____________ /_____________________/</w:t>
    </w:r>
    <w:r>
      <w:tab/>
      <w:t xml:space="preserve">              Поставщик ________________ /____________________/</w:t>
    </w:r>
  </w:p>
  <w:p w:rsidR="00F82EC3" w:rsidRDefault="00D229C0" w:rsidP="006D6819">
    <w:pPr>
      <w:pStyle w:val="a5"/>
      <w:framePr w:wrap="around" w:vAnchor="text" w:hAnchor="margin" w:xAlign="center" w:y="1"/>
      <w:rPr>
        <w:rStyle w:val="a7"/>
      </w:rPr>
    </w:pPr>
  </w:p>
  <w:p w:rsidR="00F82EC3" w:rsidRDefault="00D229C0"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D229C0" w:rsidP="006D6819">
    <w:pPr>
      <w:pStyle w:val="a5"/>
      <w:framePr w:wrap="around" w:vAnchor="text" w:hAnchor="margin" w:xAlign="center" w:y="1"/>
      <w:rPr>
        <w:rStyle w:val="a7"/>
      </w:rPr>
    </w:pPr>
  </w:p>
  <w:p w:rsidR="00F82EC3" w:rsidRDefault="00D229C0" w:rsidP="003366D4">
    <w:pPr>
      <w:pStyle w:val="a5"/>
    </w:pPr>
  </w:p>
  <w:p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D229C0" w:rsidP="00DF7D4E">
    <w:pPr>
      <w:pStyle w:val="a5"/>
      <w:framePr w:h="538" w:hRule="exact" w:wrap="around" w:vAnchor="text" w:hAnchor="margin" w:xAlign="center" w:y="151"/>
      <w:jc w:val="center"/>
      <w:rPr>
        <w:rStyle w:val="a7"/>
      </w:rPr>
    </w:pPr>
  </w:p>
  <w:p w:rsidR="00F82EC3" w:rsidRDefault="00D229C0"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D229C0"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C0" w:rsidRDefault="00D229C0" w:rsidP="007E264A">
      <w:pPr>
        <w:spacing w:after="0" w:line="240" w:lineRule="auto"/>
      </w:pPr>
      <w:r>
        <w:separator/>
      </w:r>
    </w:p>
  </w:footnote>
  <w:footnote w:type="continuationSeparator" w:id="0">
    <w:p w:rsidR="00D229C0" w:rsidRDefault="00D229C0"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D229C0">
    <w:pPr>
      <w:pStyle w:val="a3"/>
      <w:framePr w:wrap="around" w:vAnchor="text" w:hAnchor="margin" w:xAlign="right" w:y="1"/>
      <w:rPr>
        <w:rStyle w:val="a7"/>
      </w:rPr>
    </w:pPr>
  </w:p>
  <w:p w:rsidR="00F82EC3" w:rsidRDefault="00D229C0">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D229C0">
    <w:pPr>
      <w:pStyle w:val="a3"/>
      <w:framePr w:wrap="around" w:vAnchor="text" w:hAnchor="margin" w:xAlign="right" w:y="1"/>
      <w:rPr>
        <w:rStyle w:val="a7"/>
      </w:rPr>
    </w:pPr>
  </w:p>
  <w:p w:rsidR="00F82EC3" w:rsidRDefault="00D229C0">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D229C0">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D229C0">
    <w:pPr>
      <w:pStyle w:val="a3"/>
      <w:framePr w:wrap="around" w:vAnchor="text" w:hAnchor="margin" w:xAlign="right" w:y="1"/>
      <w:rPr>
        <w:rStyle w:val="a7"/>
      </w:rPr>
    </w:pPr>
  </w:p>
  <w:p w:rsidR="00F82EC3" w:rsidRDefault="00D229C0">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1B3FEA"/>
    <w:rsid w:val="0036086E"/>
    <w:rsid w:val="00477D3B"/>
    <w:rsid w:val="007E264A"/>
    <w:rsid w:val="007E3866"/>
    <w:rsid w:val="009A6246"/>
    <w:rsid w:val="00C214DA"/>
    <w:rsid w:val="00D229C0"/>
    <w:rsid w:val="00D43590"/>
    <w:rsid w:val="00E86C2B"/>
    <w:rsid w:val="00E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s.ru/o_kompanii/dokumenty/"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C26BD-EEE4-44F7-9007-DFC466754B5C}"/>
</file>

<file path=customXml/itemProps2.xml><?xml version="1.0" encoding="utf-8"?>
<ds:datastoreItem xmlns:ds="http://schemas.openxmlformats.org/officeDocument/2006/customXml" ds:itemID="{B8DCD1B9-255F-4321-8F94-E07C235EEF09}"/>
</file>

<file path=customXml/itemProps3.xml><?xml version="1.0" encoding="utf-8"?>
<ds:datastoreItem xmlns:ds="http://schemas.openxmlformats.org/officeDocument/2006/customXml" ds:itemID="{541956E2-1681-4ABE-B63D-A0C3FF7B6F3B}"/>
</file>

<file path=docProps/app.xml><?xml version="1.0" encoding="utf-8"?>
<Properties xmlns="http://schemas.openxmlformats.org/officeDocument/2006/extended-properties" xmlns:vt="http://schemas.openxmlformats.org/officeDocument/2006/docPropsVTypes">
  <Template>Normal.dotm</Template>
  <TotalTime>12</TotalTime>
  <Pages>12</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Павлович Павел Николаевич</cp:lastModifiedBy>
  <cp:revision>5</cp:revision>
  <dcterms:created xsi:type="dcterms:W3CDTF">2015-10-14T03:48:00Z</dcterms:created>
  <dcterms:modified xsi:type="dcterms:W3CDTF">2015-10-14T05:57:00Z</dcterms:modified>
</cp:coreProperties>
</file>